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CA79C5" w:rsidRPr="00AB212C" w:rsidRDefault="000822D3" w:rsidP="00CA79C5">
      <w:pPr>
        <w:jc w:val="both"/>
        <w:rPr>
          <w:rFonts w:eastAsiaTheme="majorEastAsia" w:cstheme="minorHAnsi"/>
          <w:b/>
          <w:u w:val="single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</w:t>
      </w:r>
      <w:r w:rsidR="00CA79C5" w:rsidRPr="00EC1FB5">
        <w:rPr>
          <w:rFonts w:eastAsiaTheme="majorEastAsia" w:cstheme="minorHAnsi"/>
          <w:b/>
          <w:sz w:val="24"/>
          <w:szCs w:val="24"/>
        </w:rPr>
        <w:t>Wykonanie robót budowlanych pn. „ Docieplenie hali warsztatowej w Ośrodku Szkolenia i Wychowania w Mrągowie – ETAP II Wymiana drzwi</w:t>
      </w:r>
      <w:r w:rsidR="00CA79C5">
        <w:rPr>
          <w:rFonts w:eastAsiaTheme="majorEastAsia" w:cstheme="minorHAnsi"/>
          <w:b/>
          <w:sz w:val="24"/>
          <w:szCs w:val="24"/>
        </w:rPr>
        <w:t>.”</w:t>
      </w:r>
    </w:p>
    <w:p w:rsidR="000822D3" w:rsidRPr="00966D70" w:rsidRDefault="00421FEE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 xml:space="preserve">.  </w:t>
      </w:r>
      <w:r w:rsidR="000822D3"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="000822D3"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33AC" w:rsidRPr="00966D70" w:rsidRDefault="000822D3" w:rsidP="003533A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 xml:space="preserve">kierownik budowy, pełniący równocześnie obowiązki kierownika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robót konstrukcyjno-budowlanych – do kierowania robotami budowlanymi  bez ograniczeń w specjalności konstrukcyjno-budowlanej–  (zgodnie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lastRenderedPageBreak/>
              <w:t xml:space="preserve">z art. 14 ustawy z 7 lipca 1994 r. Prawo budowlane (Dz.U. z 2019 r. poz. 1186 z </w:t>
            </w:r>
            <w:proofErr w:type="spellStart"/>
            <w:r w:rsidR="009A4761"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="009A4761"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0822D3" w:rsidRPr="00966D70" w:rsidRDefault="000822D3" w:rsidP="000822D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CA79C5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Roboty, zrealizowane w okresie ostatnich </w:t>
            </w:r>
            <w:r w:rsidR="003533AC" w:rsidRPr="00966D70">
              <w:rPr>
                <w:rFonts w:eastAsia="Times New Roman" w:cstheme="minorHAnsi"/>
                <w:color w:val="000000"/>
                <w:lang w:eastAsia="pl-PL"/>
              </w:rPr>
              <w:t xml:space="preserve">5 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robót, polegających na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CA79C5">
              <w:rPr>
                <w:rFonts w:eastAsia="Times New Roman" w:cstheme="minorHAnsi"/>
                <w:bCs/>
                <w:color w:val="000000"/>
                <w:lang w:eastAsia="pl-PL"/>
              </w:rPr>
              <w:t>wymianie drzwi</w:t>
            </w:r>
            <w:bookmarkStart w:id="1" w:name="_GoBack"/>
            <w:bookmarkEnd w:id="1"/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1C3A06"/>
    <w:rsid w:val="003533AC"/>
    <w:rsid w:val="00421FEE"/>
    <w:rsid w:val="004B3D45"/>
    <w:rsid w:val="00877BA2"/>
    <w:rsid w:val="00966D70"/>
    <w:rsid w:val="009A4761"/>
    <w:rsid w:val="009D6B84"/>
    <w:rsid w:val="00B81A0E"/>
    <w:rsid w:val="00CA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2021-08-05T08:37:00Z</dcterms:created>
  <dcterms:modified xsi:type="dcterms:W3CDTF">2021-09-20T09:58:00Z</dcterms:modified>
</cp:coreProperties>
</file>