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17B2A" w14:textId="1F2B4AF3" w:rsidR="00A9390E" w:rsidRPr="00A912A2" w:rsidRDefault="004D7C7E" w:rsidP="003736AA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8"/>
          <w:lang w:eastAsia="pl-PL"/>
        </w:rPr>
      </w:pPr>
      <w:bookmarkStart w:id="0" w:name="bookmark0"/>
      <w:r w:rsidRPr="00A912A2">
        <w:rPr>
          <w:rFonts w:ascii="Arial" w:eastAsia="Times New Roman" w:hAnsi="Arial" w:cs="Arial"/>
          <w:b/>
          <w:bCs/>
          <w:color w:val="000000"/>
          <w:sz w:val="24"/>
          <w:szCs w:val="28"/>
          <w:lang w:eastAsia="pl-PL"/>
        </w:rPr>
        <w:t>DEKLARACJA DOSTĘPNOŚCI</w:t>
      </w:r>
    </w:p>
    <w:bookmarkEnd w:id="0"/>
    <w:p w14:paraId="5D5FA6FD" w14:textId="45868877" w:rsidR="004D7C7E" w:rsidRPr="00A912A2" w:rsidRDefault="00AE5377" w:rsidP="003736AA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8"/>
          <w:lang w:eastAsia="pl-PL"/>
        </w:rPr>
        <w:t>SZKOŁY PODSTAWOWEJ SPECJALNEJ W WARCZU</w:t>
      </w:r>
    </w:p>
    <w:p w14:paraId="156B9915" w14:textId="77777777" w:rsidR="00A9390E" w:rsidRDefault="00A9390E" w:rsidP="00F85CA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9983610" w14:textId="0F430F42" w:rsidR="00AE5377" w:rsidRDefault="00AE5377" w:rsidP="00F85CA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Podstawowa Specjalna w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Warczu</w:t>
      </w:r>
      <w:proofErr w:type="spellEnd"/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C68A5"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zobowiązuje się zapewnić dostępność </w:t>
      </w:r>
      <w:r w:rsidR="00AC68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swojego urzędowego publikatora teleinformatycznego czyli Biuletynu Informacji Publicznej</w:t>
      </w:r>
      <w:r w:rsidR="00AC68A5"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</w:t>
      </w:r>
      <w:r w:rsidR="00AC68A5"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D7C7E"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przepisami ustawy z</w:t>
      </w:r>
      <w:r w:rsid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D7C7E"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 4 kwietnia 2019 r. o dostępności cyfrowej stron internetowych i aplikacji mobilnych podmiotów publicznych. Oświadczenie w sprawie dostępności ma</w:t>
      </w:r>
      <w:r w:rsid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D7C7E"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zastosowanie do strony internetowej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SPS w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Warczu</w:t>
      </w:r>
      <w:proofErr w:type="spellEnd"/>
      <w:r w:rsid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dostępnej pod </w:t>
      </w:r>
      <w:r w:rsidR="00A912A2" w:rsidRP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linkiem</w:t>
      </w:r>
      <w:r w:rsidR="00A912A2" w:rsidRPr="00AC68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</w:t>
      </w:r>
      <w:hyperlink r:id="rId7" w:history="1">
        <w:r w:rsidR="00AC68A5" w:rsidRPr="000D5011">
          <w:rPr>
            <w:rStyle w:val="Hipercze"/>
            <w:rFonts w:ascii="Arial" w:hAnsi="Arial" w:cs="Arial"/>
            <w:sz w:val="24"/>
            <w:szCs w:val="24"/>
          </w:rPr>
          <w:t>http://bip.spswarcz.pl/</w:t>
        </w:r>
      </w:hyperlink>
    </w:p>
    <w:p w14:paraId="06D430B2" w14:textId="77777777" w:rsidR="00A912A2" w:rsidRPr="004D7C7E" w:rsidRDefault="00A912A2" w:rsidP="00F85CA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BF20F" w14:textId="2030FA02" w:rsidR="004D7C7E" w:rsidRPr="00A912A2" w:rsidRDefault="004D7C7E" w:rsidP="00A912A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12A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Data publikacji strony internetowej:</w:t>
      </w:r>
      <w:r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912A2"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5915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2017</w:t>
      </w:r>
      <w:r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="005915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01</w:t>
      </w:r>
      <w:r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="005915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</w:t>
      </w:r>
    </w:p>
    <w:p w14:paraId="0111F91A" w14:textId="4A452A09" w:rsidR="004D7C7E" w:rsidRPr="00A912A2" w:rsidRDefault="004D7C7E" w:rsidP="00A912A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12A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Data ostatniej istotnej aktualizacji:</w:t>
      </w:r>
      <w:r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912A2"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4463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-0</w:t>
      </w:r>
      <w:r w:rsidR="009A32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A91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="009152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</w:p>
    <w:p w14:paraId="397EE0A9" w14:textId="5C41B6F9" w:rsidR="00F85CA7" w:rsidRDefault="00F85CA7" w:rsidP="00F85CA7">
      <w:pPr>
        <w:spacing w:after="0" w:line="276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1" w:name="bookmark1"/>
    </w:p>
    <w:p w14:paraId="02E3FD04" w14:textId="77777777" w:rsidR="00BE783B" w:rsidRPr="0060331D" w:rsidRDefault="00BE783B" w:rsidP="00BE783B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6033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DANE TELEADRESOWE</w:t>
      </w:r>
    </w:p>
    <w:p w14:paraId="7F6E2E48" w14:textId="62CDBEC3" w:rsidR="00BE783B" w:rsidRDefault="00AE5377" w:rsidP="00BE783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Podstawowa Specjalna w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Warczu</w:t>
      </w:r>
      <w:proofErr w:type="spellEnd"/>
    </w:p>
    <w:p w14:paraId="40F28A54" w14:textId="70A6D9BB" w:rsidR="00BE783B" w:rsidRDefault="00AE5377" w:rsidP="00BE783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Warcz 6</w:t>
      </w:r>
      <w:r w:rsidR="00BE78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EB1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83-041 Mierzeszyn</w:t>
      </w:r>
    </w:p>
    <w:p w14:paraId="75CB99FE" w14:textId="07068C0A" w:rsidR="00AE5377" w:rsidRDefault="00BE783B" w:rsidP="00BE783B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tel.: </w:t>
      </w:r>
      <w:r w:rsidRPr="006037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AE5377" w:rsidRP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58</w:t>
      </w:r>
      <w:r w:rsid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AE5377" w:rsidRP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682</w:t>
      </w:r>
      <w:r w:rsid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5377" w:rsidRP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81</w:t>
      </w:r>
      <w:r w:rsid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5377" w:rsidRPr="00AE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91</w:t>
      </w:r>
    </w:p>
    <w:p w14:paraId="560C90B5" w14:textId="6C5E94DE" w:rsidR="00AE5377" w:rsidRDefault="00BE783B" w:rsidP="00BE783B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e-mail: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hyperlink r:id="rId8" w:history="1">
        <w:r w:rsidR="00AE5377" w:rsidRPr="00A66745">
          <w:rPr>
            <w:rStyle w:val="Hipercze"/>
            <w:rFonts w:ascii="Arial" w:hAnsi="Arial" w:cs="Arial"/>
            <w:sz w:val="24"/>
            <w:szCs w:val="24"/>
          </w:rPr>
          <w:t>szkolawarcz@wp.pl</w:t>
        </w:r>
      </w:hyperlink>
    </w:p>
    <w:p w14:paraId="3E133BA5" w14:textId="77777777" w:rsidR="00BE783B" w:rsidRDefault="00BE783B" w:rsidP="00F85CA7">
      <w:pPr>
        <w:spacing w:after="0" w:line="276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98E1125" w14:textId="6866595B" w:rsidR="004D7C7E" w:rsidRPr="004D7C7E" w:rsidRDefault="004D7C7E" w:rsidP="00F85CA7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STATUS POD WZGLĘDEM ZGODNOŚCI Z USTAWĄ</w:t>
      </w:r>
      <w:bookmarkEnd w:id="1"/>
    </w:p>
    <w:p w14:paraId="352BCC2D" w14:textId="51E4A575" w:rsidR="00A912A2" w:rsidRPr="00EF6156" w:rsidRDefault="00A912A2" w:rsidP="00A912A2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2" w:name="bookmark2"/>
      <w:r w:rsidRPr="00EF61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Strona internetowa jest częściowo zgodna z ustawą z dnia 4 kwietnia 2019 r.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EF61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dostępności cyfrowej stron internetowych i aplikacji mobilnych podmiotów publicznych z powodu niezgodności lub </w:t>
      </w:r>
      <w:proofErr w:type="spellStart"/>
      <w:r w:rsidRPr="00EF61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wył</w:t>
      </w:r>
      <w:r w:rsidR="002522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</w:t>
      </w:r>
      <w:r w:rsidRPr="00EF61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czeń</w:t>
      </w:r>
      <w:proofErr w:type="spellEnd"/>
      <w:r w:rsidRPr="00EF61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wymienionych poniżej:</w:t>
      </w:r>
    </w:p>
    <w:p w14:paraId="6C44AE7D" w14:textId="77777777" w:rsidR="00A912A2" w:rsidRPr="00EF6156" w:rsidRDefault="00A912A2" w:rsidP="00A912A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Linki zamieszczone w serwisie otwierają się w tym samym oknie, jednak z uwagi na pewne ograniczenia systemowe mogą zdarzyć się sytuacje, w których będą się one otwierały w nowym oknie,</w:t>
      </w:r>
    </w:p>
    <w:p w14:paraId="21E6F0F1" w14:textId="77777777" w:rsidR="00A912A2" w:rsidRPr="00EF6156" w:rsidRDefault="00A912A2" w:rsidP="00A912A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Mogą zdarzyć się sytuacje, że pomimo starań administratora:</w:t>
      </w:r>
    </w:p>
    <w:p w14:paraId="33B60706" w14:textId="77777777" w:rsidR="00A912A2" w:rsidRPr="00EF6156" w:rsidRDefault="00A912A2" w:rsidP="00A912A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Cel linku nie zostanie odpowiednio określony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3830DE" w14:textId="77777777" w:rsidR="00A912A2" w:rsidRPr="00EF6156" w:rsidRDefault="00A912A2" w:rsidP="00A912A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Załączniki nie będą posiadać informacji na temat wielkości pliku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B79DA0" w14:textId="2B598D24" w:rsidR="00A912A2" w:rsidRDefault="00A912A2" w:rsidP="00A912A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Niektóre grafiki nie zawierają tekstów alternatywnych oraz wersji tekstowej.</w:t>
      </w:r>
    </w:p>
    <w:p w14:paraId="3E26C8F5" w14:textId="77777777" w:rsidR="00A912A2" w:rsidRPr="00EF6156" w:rsidRDefault="00A912A2" w:rsidP="00A912A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Mogą zdarzyć się sytuacje, w których zamieszczone dokumenty lub linki będą nieaktualne z uwagi na fakt:</w:t>
      </w:r>
    </w:p>
    <w:p w14:paraId="70F843EE" w14:textId="77777777" w:rsidR="00A912A2" w:rsidRPr="00EF6156" w:rsidRDefault="00A912A2" w:rsidP="00A912A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Pochodzenia z różnych niezależnych od administratora źródeł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F52F4FF" w14:textId="77777777" w:rsidR="00A912A2" w:rsidRPr="00EF6156" w:rsidRDefault="00A912A2" w:rsidP="00A912A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Opublikowania w oparciu o zasady przyjęte w innej instytucji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8DDE70" w14:textId="77777777" w:rsidR="00A912A2" w:rsidRPr="00EF6156" w:rsidRDefault="00A912A2" w:rsidP="00A912A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Posiadają strukturę uniemożliwiającą możliwość ingerencji, np. skany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99B35A5" w14:textId="77777777" w:rsidR="00A912A2" w:rsidRPr="00EF6156" w:rsidRDefault="00A912A2" w:rsidP="00A912A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Opublikowania ich przed wejściem w życie Ustawy o Dostępności Cyfrowej.</w:t>
      </w:r>
    </w:p>
    <w:p w14:paraId="3265D54E" w14:textId="77777777" w:rsidR="00A912A2" w:rsidRPr="00EF6156" w:rsidRDefault="00A912A2" w:rsidP="00A912A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Pliki PDF, DOC itp. - redaktorzy starają się ograniczyć do minimum korzystanie z takich plików i osadzać teksty bezpośrednio w stronie.</w:t>
      </w:r>
    </w:p>
    <w:p w14:paraId="07B4ED6D" w14:textId="2205A141" w:rsidR="00A912A2" w:rsidRPr="00EF6156" w:rsidRDefault="00A912A2" w:rsidP="00A912A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156">
        <w:rPr>
          <w:rFonts w:ascii="Arial" w:eastAsia="Times New Roman" w:hAnsi="Arial" w:cs="Arial"/>
          <w:sz w:val="24"/>
          <w:szCs w:val="24"/>
          <w:lang w:eastAsia="pl-PL"/>
        </w:rPr>
        <w:t>Strona zawiera dokumenty PDF, które są skanami dokumentów. W miarę możliwości będziemy to poprawiać oraz dokładać starań by nowe dokumenty przygotowywane były poprawnie.</w:t>
      </w:r>
    </w:p>
    <w:bookmarkEnd w:id="2"/>
    <w:p w14:paraId="6857C330" w14:textId="77777777" w:rsidR="00C408E0" w:rsidRDefault="00C408E0" w:rsidP="00415A30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A161EDD" w14:textId="77777777" w:rsidR="00F22861" w:rsidRDefault="00F22861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 w:type="page"/>
      </w:r>
    </w:p>
    <w:p w14:paraId="1316D2DD" w14:textId="57F7020A" w:rsidR="00415A30" w:rsidRPr="00AB418A" w:rsidRDefault="00415A30" w:rsidP="00415A30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B418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UŁATWIENIA NA STRONIE INTERNETOWEJ</w:t>
      </w:r>
    </w:p>
    <w:p w14:paraId="6DA42A86" w14:textId="6185710F" w:rsidR="00415A30" w:rsidRPr="000475E2" w:rsidRDefault="00415A30" w:rsidP="00415A3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75E2">
        <w:rPr>
          <w:rFonts w:ascii="Arial" w:eastAsia="Arial Unicode MS" w:hAnsi="Arial" w:cs="Arial"/>
          <w:sz w:val="24"/>
          <w:szCs w:val="24"/>
        </w:rPr>
        <w:t>Na stronie internetowej można używać standardowych skrótów klawiaturowych przeglądarki</w:t>
      </w:r>
      <w:r w:rsidRPr="000475E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003709" w14:textId="73247ECC" w:rsidR="00415A30" w:rsidRPr="0039519F" w:rsidRDefault="00415A30" w:rsidP="00415A3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475E2">
        <w:rPr>
          <w:rFonts w:ascii="Arial" w:eastAsia="Times New Roman" w:hAnsi="Arial" w:cs="Arial"/>
          <w:sz w:val="24"/>
          <w:szCs w:val="24"/>
          <w:lang w:eastAsia="pl-PL"/>
        </w:rPr>
        <w:t xml:space="preserve">Strony </w:t>
      </w:r>
      <w:r w:rsidR="00990402">
        <w:rPr>
          <w:rFonts w:ascii="Arial" w:eastAsia="Times New Roman" w:hAnsi="Arial" w:cs="Arial"/>
          <w:sz w:val="24"/>
          <w:szCs w:val="24"/>
          <w:lang w:eastAsia="pl-PL"/>
        </w:rPr>
        <w:t>BIP jednostki pod linkiem:</w:t>
      </w:r>
      <w:r w:rsidRPr="000475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59150D" w:rsidRPr="000D5011">
          <w:rPr>
            <w:rStyle w:val="Hipercze"/>
            <w:rFonts w:ascii="Arial" w:hAnsi="Arial" w:cs="Arial"/>
            <w:sz w:val="24"/>
            <w:szCs w:val="24"/>
          </w:rPr>
          <w:t>http://bip.spswarcz.pl/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475E2">
        <w:rPr>
          <w:rFonts w:ascii="Arial" w:eastAsia="Times New Roman" w:hAnsi="Arial" w:cs="Arial"/>
          <w:sz w:val="24"/>
          <w:szCs w:val="24"/>
          <w:lang w:eastAsia="pl-PL"/>
        </w:rPr>
        <w:t>posiada dla użytkowników takie ułatwienia jak:</w:t>
      </w:r>
    </w:p>
    <w:p w14:paraId="794C44E2" w14:textId="6403D0D7" w:rsidR="00415A30" w:rsidRDefault="00415A30" w:rsidP="00415A3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AB41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owiększenie lub pomniejszenie tekstu</w:t>
      </w:r>
    </w:p>
    <w:p w14:paraId="016FB894" w14:textId="1DB2BF4D" w:rsidR="00CB12EB" w:rsidRDefault="00CB12EB" w:rsidP="00415A3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zmiana kontrastu</w:t>
      </w:r>
    </w:p>
    <w:p w14:paraId="7DFB9286" w14:textId="77777777" w:rsidR="00415A30" w:rsidRPr="006A2468" w:rsidRDefault="00415A30" w:rsidP="00415A30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A2468">
        <w:rPr>
          <w:rFonts w:ascii="Arial" w:eastAsia="Times New Roman" w:hAnsi="Arial" w:cs="Arial"/>
          <w:sz w:val="24"/>
          <w:szCs w:val="24"/>
          <w:lang w:eastAsia="pl-PL"/>
        </w:rPr>
        <w:t>znaczenie innym kolorem linków</w:t>
      </w:r>
    </w:p>
    <w:p w14:paraId="37312BC5" w14:textId="6D61C0BD" w:rsidR="00415A30" w:rsidRPr="006A2468" w:rsidRDefault="00415A30" w:rsidP="00415A30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468">
        <w:rPr>
          <w:rFonts w:ascii="Arial" w:eastAsia="Times New Roman" w:hAnsi="Arial" w:cs="Arial"/>
          <w:sz w:val="24"/>
          <w:szCs w:val="24"/>
          <w:lang w:eastAsia="pl-PL"/>
        </w:rPr>
        <w:t>czytelną czcionkę</w:t>
      </w:r>
    </w:p>
    <w:p w14:paraId="7468FF9A" w14:textId="5A2C15B5" w:rsidR="00415A30" w:rsidRPr="00BD1F55" w:rsidRDefault="00415A30" w:rsidP="00415A3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A2468">
        <w:rPr>
          <w:rFonts w:ascii="Arial" w:hAnsi="Arial" w:cs="Arial"/>
          <w:sz w:val="24"/>
          <w:szCs w:val="24"/>
        </w:rPr>
        <w:t>nawigacja za pomocą klawiatury za pomocą standardowych skrótów przeglądarek internetowych (np. TAB, SHIFT + TAB)</w:t>
      </w:r>
    </w:p>
    <w:p w14:paraId="76E0B171" w14:textId="5B879383" w:rsidR="00BD1F55" w:rsidRPr="00BD1F55" w:rsidRDefault="00CB12EB" w:rsidP="00415A3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</w:t>
      </w:r>
      <w:r w:rsidR="00BD1F55">
        <w:rPr>
          <w:rFonts w:ascii="Arial" w:hAnsi="Arial" w:cs="Arial"/>
          <w:sz w:val="24"/>
          <w:szCs w:val="24"/>
        </w:rPr>
        <w:t>yszukiwarkę treści</w:t>
      </w:r>
    </w:p>
    <w:p w14:paraId="27C0380A" w14:textId="6B0B5D49" w:rsidR="00BD1F55" w:rsidRPr="00AB418A" w:rsidRDefault="00CB12EB" w:rsidP="00415A3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j</w:t>
      </w:r>
      <w:r w:rsidR="00BD1F55">
        <w:rPr>
          <w:rFonts w:ascii="Arial" w:hAnsi="Arial" w:cs="Arial"/>
          <w:sz w:val="24"/>
          <w:szCs w:val="24"/>
        </w:rPr>
        <w:t>asne tło.</w:t>
      </w:r>
    </w:p>
    <w:p w14:paraId="7B22AB61" w14:textId="77777777" w:rsidR="00415A30" w:rsidRPr="00EF6156" w:rsidRDefault="00415A30" w:rsidP="00415A30">
      <w:pPr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AC41254" w14:textId="77777777" w:rsidR="004D7C7E" w:rsidRPr="004D7C7E" w:rsidRDefault="004D7C7E" w:rsidP="00394DDC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DOSTĘPNOŚĆ ARCHITEKTONICZNA</w:t>
      </w:r>
    </w:p>
    <w:p w14:paraId="51BA6BA5" w14:textId="3C689736" w:rsidR="004937D7" w:rsidRDefault="00342684" w:rsidP="0034268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3" w:name="_Hlk59619156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Podstawowa Specjalna w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Warczu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położona jest w centralnej części miejscowości.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Wjazd na teren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Szkoły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realizowany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bezpośrednio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strony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drogi powiatowej nr 226. Br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ama wjazdowa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zlokalizowana jest w południowej części kompleksu szkolnego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Teren należący do kompleksu szkolnego otoczony jest ogrodzeniem zabezpieczającym kompleks przed nieautoryzowanym wejściem osób postronnych.</w:t>
      </w:r>
    </w:p>
    <w:p w14:paraId="137DC2F2" w14:textId="77777777" w:rsidR="00342684" w:rsidRDefault="00342684" w:rsidP="0034268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4669C4C" w14:textId="25FDFB69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u w:val="single"/>
          <w:lang w:eastAsia="pl-PL"/>
        </w:rPr>
        <w:t>Opis dostępności wejścia do budynku:</w:t>
      </w:r>
    </w:p>
    <w:p w14:paraId="0C29DA6E" w14:textId="6933672F" w:rsidR="004937D7" w:rsidRDefault="004937D7" w:rsidP="00394D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Aby wejść do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głównego budynku szkolnego istnieje konieczność pokonywania krótkiego odcinka schodów, brak możliwości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wjazdu na wózk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inwalidzkim (brak podjazdu)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Wejście tylne do budynku głównego bezpośrednio nie prowadzi przez schody, jednak po minięciu drzwi konieczne jest pokonanie krótkiego odcinka schodów aby dostać się na parter budynku.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Aby wejść do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pozostałych budynków kompleksu ZSB w Tczewie (pawilon, sala gimnastyczna) nie ma potrzeby pokonywania schodów, istnieje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możliwości wjazdu na wózk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inwalidzkim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BBA2ADE" w14:textId="08160566" w:rsidR="00BF4501" w:rsidRDefault="004937D7" w:rsidP="00394D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Wszystkie d</w:t>
      </w:r>
      <w:r w:rsidR="00BF4501" w:rsidRPr="00581B3A">
        <w:rPr>
          <w:rFonts w:ascii="Arial" w:eastAsia="Times New Roman" w:hAnsi="Arial" w:cs="Arial"/>
          <w:sz w:val="24"/>
          <w:szCs w:val="24"/>
          <w:lang w:eastAsia="pl-PL"/>
        </w:rPr>
        <w:t>rzwi główne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poszczególnych </w:t>
      </w:r>
      <w:r w:rsidR="00BF4501">
        <w:rPr>
          <w:rFonts w:ascii="Arial" w:eastAsia="Times New Roman" w:hAnsi="Arial" w:cs="Arial"/>
          <w:sz w:val="24"/>
          <w:szCs w:val="24"/>
          <w:lang w:eastAsia="pl-PL"/>
        </w:rPr>
        <w:t>budynk</w:t>
      </w:r>
      <w:r>
        <w:rPr>
          <w:rFonts w:ascii="Arial" w:eastAsia="Times New Roman" w:hAnsi="Arial" w:cs="Arial"/>
          <w:sz w:val="24"/>
          <w:szCs w:val="24"/>
          <w:lang w:eastAsia="pl-PL"/>
        </w:rPr>
        <w:t>ów kompleksu szkolnego</w:t>
      </w:r>
      <w:r w:rsidR="00BF45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4501" w:rsidRPr="00581B3A">
        <w:rPr>
          <w:rFonts w:ascii="Arial" w:eastAsia="Times New Roman" w:hAnsi="Arial" w:cs="Arial"/>
          <w:sz w:val="24"/>
          <w:szCs w:val="24"/>
          <w:lang w:eastAsia="pl-PL"/>
        </w:rPr>
        <w:t>otwierane są ręcznie.</w:t>
      </w:r>
    </w:p>
    <w:p w14:paraId="0472C890" w14:textId="77777777" w:rsidR="000F2431" w:rsidRDefault="000F2431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70CC310" w14:textId="4E072DBF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Opis dostępności </w:t>
      </w:r>
      <w:r w:rsidR="00BF450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do poszczególnych kondygnacji budynku, </w:t>
      </w:r>
      <w:r w:rsidRPr="00581B3A">
        <w:rPr>
          <w:rFonts w:ascii="Arial" w:eastAsia="Times New Roman" w:hAnsi="Arial" w:cs="Arial"/>
          <w:sz w:val="24"/>
          <w:szCs w:val="24"/>
          <w:u w:val="single"/>
          <w:lang w:eastAsia="pl-PL"/>
        </w:rPr>
        <w:t>korytarzy, schodów i wind:</w:t>
      </w:r>
    </w:p>
    <w:p w14:paraId="2BDFF7DE" w14:textId="7EA4A776" w:rsidR="002F79C1" w:rsidRDefault="002F79C1" w:rsidP="00394D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Aby wejść do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budynków kompleksu szkolnego nie ma potrzeby pokonywania schodów, istnieje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możliwości wjazdu na wózk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inwalidzkim (zarówno do budynku głównego szkoły, jak i do budynku parterowego zlokalizowanego w zachodniej części kompleksu)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Budynek główny posiada dwie kondygnacje nadziemne. Budynek pomocniczy to obiekt parterowy. Sekretariat jednostki mieści się na piętrze budynku głównego, w jego zachodnim skrzydle (na końcu ciągu komunikacyjnego piętra budynku głównego). Aby dostać się na pierwsze piętro budynku głównego konieczne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jest pokonanie schodów mieszczących się w centralnej części budynku szkolnego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Brak wind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budynku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0FA3F829" w14:textId="769FEDD4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Korytarze </w:t>
      </w:r>
      <w:r w:rsidR="00950930">
        <w:rPr>
          <w:rFonts w:ascii="Arial" w:eastAsia="Times New Roman" w:hAnsi="Arial" w:cs="Arial"/>
          <w:sz w:val="24"/>
          <w:szCs w:val="24"/>
          <w:lang w:eastAsia="pl-PL"/>
        </w:rPr>
        <w:t xml:space="preserve">wewnątrz budynków </w:t>
      </w:r>
      <w:r w:rsidR="002F79C1">
        <w:rPr>
          <w:rFonts w:ascii="Arial" w:eastAsia="Times New Roman" w:hAnsi="Arial" w:cs="Arial"/>
          <w:sz w:val="24"/>
          <w:szCs w:val="24"/>
          <w:lang w:eastAsia="pl-PL"/>
        </w:rPr>
        <w:t xml:space="preserve">kompleksu szkolnego 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>są ogólnie dostępne, nie zawierają barier ani przeszkód komunikacyjnych. Korytarze umożliwiają</w:t>
      </w:r>
      <w:r w:rsidR="001938F9">
        <w:rPr>
          <w:rFonts w:ascii="Arial" w:eastAsia="Times New Roman" w:hAnsi="Arial" w:cs="Arial"/>
          <w:sz w:val="24"/>
          <w:szCs w:val="24"/>
          <w:lang w:eastAsia="pl-PL"/>
        </w:rPr>
        <w:t xml:space="preserve"> poruszanie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 się na wózku. </w:t>
      </w:r>
      <w:r w:rsidR="001938F9">
        <w:rPr>
          <w:rFonts w:ascii="Arial" w:eastAsia="Times New Roman" w:hAnsi="Arial" w:cs="Arial"/>
          <w:sz w:val="24"/>
          <w:szCs w:val="24"/>
          <w:lang w:eastAsia="pl-PL"/>
        </w:rPr>
        <w:t>Brak t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>oalet</w:t>
      </w:r>
      <w:r w:rsidR="001938F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 dla osób poruszających się na wózkach. Istnieje możliwość umówienia spotkania z interesantem </w:t>
      </w:r>
      <w:r w:rsidR="001938F9">
        <w:rPr>
          <w:rFonts w:ascii="Arial" w:eastAsia="Times New Roman" w:hAnsi="Arial" w:cs="Arial"/>
          <w:sz w:val="24"/>
          <w:szCs w:val="24"/>
          <w:lang w:eastAsia="pl-PL"/>
        </w:rPr>
        <w:t>w części budynku dostępnej dla osoby o utrudnionych możliwościach poruszania się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>. Istnieje także możliwość zaprowadzenia osoby niewidomej do konkretnego pomieszczenia.</w:t>
      </w:r>
    </w:p>
    <w:p w14:paraId="02FB1285" w14:textId="77777777" w:rsidR="000F2431" w:rsidRDefault="000F2431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2073EAFA" w14:textId="55BA0768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u w:val="single"/>
          <w:lang w:eastAsia="pl-PL"/>
        </w:rPr>
        <w:t>Opis dostosowań,</w:t>
      </w:r>
      <w:r w:rsidR="002F79C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81B3A">
        <w:rPr>
          <w:rFonts w:ascii="Arial" w:eastAsia="Times New Roman" w:hAnsi="Arial" w:cs="Arial"/>
          <w:sz w:val="24"/>
          <w:szCs w:val="24"/>
          <w:u w:val="single"/>
          <w:lang w:eastAsia="pl-PL"/>
        </w:rPr>
        <w:t>pochylni, platform, informacji głosowych, pętli indukcyjnych:</w:t>
      </w:r>
    </w:p>
    <w:p w14:paraId="0454E46E" w14:textId="2F6325D7" w:rsidR="00950930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lang w:eastAsia="pl-PL"/>
        </w:rPr>
        <w:t>Budyn</w:t>
      </w:r>
      <w:r w:rsidR="002F79C1">
        <w:rPr>
          <w:rFonts w:ascii="Arial" w:eastAsia="Times New Roman" w:hAnsi="Arial" w:cs="Arial"/>
          <w:sz w:val="24"/>
          <w:szCs w:val="24"/>
          <w:lang w:eastAsia="pl-PL"/>
        </w:rPr>
        <w:t xml:space="preserve">ek główny posiada 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>podjazd</w:t>
      </w:r>
      <w:r w:rsidR="001938F9">
        <w:rPr>
          <w:rFonts w:ascii="Arial" w:eastAsia="Times New Roman" w:hAnsi="Arial" w:cs="Arial"/>
          <w:sz w:val="24"/>
          <w:szCs w:val="24"/>
          <w:lang w:eastAsia="pl-PL"/>
        </w:rPr>
        <w:t xml:space="preserve"> dla pojazdów</w:t>
      </w:r>
      <w:r w:rsidR="00950930">
        <w:rPr>
          <w:rFonts w:ascii="Arial" w:eastAsia="Times New Roman" w:hAnsi="Arial" w:cs="Arial"/>
          <w:sz w:val="24"/>
          <w:szCs w:val="24"/>
          <w:lang w:eastAsia="pl-PL"/>
        </w:rPr>
        <w:t xml:space="preserve"> od strony dziedzińca wewnętrznego</w:t>
      </w:r>
      <w:r w:rsidR="001938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79C1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1938F9">
        <w:rPr>
          <w:rFonts w:ascii="Arial" w:eastAsia="Times New Roman" w:hAnsi="Arial" w:cs="Arial"/>
          <w:sz w:val="24"/>
          <w:szCs w:val="24"/>
          <w:lang w:eastAsia="pl-PL"/>
        </w:rPr>
        <w:t xml:space="preserve"> posiada podjazd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 dla wózków inwalidzkich</w:t>
      </w:r>
      <w:r w:rsidR="002F79C1">
        <w:rPr>
          <w:rFonts w:ascii="Arial" w:eastAsia="Times New Roman" w:hAnsi="Arial" w:cs="Arial"/>
          <w:sz w:val="24"/>
          <w:szCs w:val="24"/>
          <w:lang w:eastAsia="pl-PL"/>
        </w:rPr>
        <w:t xml:space="preserve"> (zlokalizowany po południowej stronie budynku głównego</w:t>
      </w:r>
      <w:r w:rsidR="006B1E2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Budynek </w:t>
      </w:r>
      <w:r w:rsidR="00950930">
        <w:rPr>
          <w:rFonts w:ascii="Arial" w:eastAsia="Times New Roman" w:hAnsi="Arial" w:cs="Arial"/>
          <w:sz w:val="24"/>
          <w:szCs w:val="24"/>
          <w:lang w:eastAsia="pl-PL"/>
        </w:rPr>
        <w:t xml:space="preserve">główny 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>nie posiada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 xml:space="preserve"> windy,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 platform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 xml:space="preserve"> ani pochylni umożliwiających dostęp oraz swobodne poruczanie się osób na wózkach inwalidzkich</w:t>
      </w:r>
      <w:r w:rsidR="009509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1E29">
        <w:rPr>
          <w:rFonts w:ascii="Arial" w:eastAsia="Times New Roman" w:hAnsi="Arial" w:cs="Arial"/>
          <w:sz w:val="24"/>
          <w:szCs w:val="24"/>
          <w:lang w:eastAsia="pl-PL"/>
        </w:rPr>
        <w:t>na piętrze budynku. Możliwe jest swobodne poruszanie się na wózku w części parterowej budynku głównego</w:t>
      </w:r>
      <w:r w:rsidR="0095093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7A4FBD" w14:textId="77777777" w:rsidR="006B1E29" w:rsidRDefault="006B1E29" w:rsidP="00394D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Budynek pomocniczy jako obiekt parterowy,</w:t>
      </w:r>
      <w:r w:rsidRPr="006B1E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poprzez posiadaną architekturę, umożliwia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swobodne poruszanie się na wózku w całym budynku.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A0A477F" w14:textId="45D3DA0F" w:rsidR="00581B3A" w:rsidRPr="00581B3A" w:rsidRDefault="00950930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Żaden z b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>udyn</w:t>
      </w:r>
      <w:r>
        <w:rPr>
          <w:rFonts w:ascii="Arial" w:eastAsia="Times New Roman" w:hAnsi="Arial" w:cs="Arial"/>
          <w:sz w:val="24"/>
          <w:szCs w:val="24"/>
          <w:lang w:eastAsia="pl-PL"/>
        </w:rPr>
        <w:t>ków kompleksu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 xml:space="preserve"> nie posiada </w:t>
      </w:r>
      <w:r w:rsidR="00581B3A" w:rsidRPr="00581B3A">
        <w:rPr>
          <w:rFonts w:ascii="Arial" w:eastAsia="Times New Roman" w:hAnsi="Arial" w:cs="Arial"/>
          <w:sz w:val="24"/>
          <w:szCs w:val="24"/>
          <w:lang w:eastAsia="pl-PL"/>
        </w:rPr>
        <w:t>informacji głosowych ani pętli indukcyjnych. W budynk</w:t>
      </w:r>
      <w:r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581B3A"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>brak jest</w:t>
      </w:r>
      <w:r w:rsidR="00581B3A"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 oznaczeń w alfabecie brajla 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581B3A"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 oznaczeń kontrastowych lub w druku powiększonym dla osób niewidomych i słabowidzących.</w:t>
      </w:r>
    </w:p>
    <w:p w14:paraId="7E533969" w14:textId="77777777" w:rsidR="000F2431" w:rsidRDefault="000F2431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1765A257" w14:textId="5715E731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u w:val="single"/>
          <w:lang w:eastAsia="pl-PL"/>
        </w:rPr>
        <w:t>Informacje o miejscu i sposobie korzystania z miejsc parkingowych wyznaczonych dla osób niepełnosprawnych:</w:t>
      </w:r>
    </w:p>
    <w:p w14:paraId="311196DC" w14:textId="4A6D002B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lang w:eastAsia="pl-PL"/>
        </w:rPr>
        <w:t>Przy budynku zapewnia się miejsca parkingow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 dla osób z niepełnosprawnością ruchową. Miejsca takie są zlokalizowane na placu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 xml:space="preserve"> parkingowym zlokalizowanym </w:t>
      </w:r>
      <w:r w:rsidR="00132D83">
        <w:rPr>
          <w:rFonts w:ascii="Arial" w:eastAsia="Times New Roman" w:hAnsi="Arial" w:cs="Arial"/>
          <w:sz w:val="24"/>
          <w:szCs w:val="24"/>
          <w:lang w:eastAsia="pl-PL"/>
        </w:rPr>
        <w:t>w centralnej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 xml:space="preserve"> części kompleksu szkolnego</w:t>
      </w:r>
      <w:r w:rsidR="00132D83">
        <w:rPr>
          <w:rFonts w:ascii="Arial" w:eastAsia="Times New Roman" w:hAnsi="Arial" w:cs="Arial"/>
          <w:sz w:val="24"/>
          <w:szCs w:val="24"/>
          <w:lang w:eastAsia="pl-PL"/>
        </w:rPr>
        <w:t xml:space="preserve"> (dziedziniec wewnętrzny kompleksu)</w:t>
      </w:r>
      <w:r w:rsidR="00394D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35F3CD" w14:textId="77777777" w:rsidR="000F2431" w:rsidRDefault="000F2431" w:rsidP="00394DDC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</w:p>
    <w:p w14:paraId="0AD532B1" w14:textId="59CE5F96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  <w:r w:rsidRPr="00581B3A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Informacje o prawie wstępu z psem asystującym i ewentualnych uzasadnionych ograniczeniach:</w:t>
      </w:r>
    </w:p>
    <w:p w14:paraId="30066FB1" w14:textId="77777777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81B3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budynku i wszystkich jego pomieszczeń poza pomieszczeniami technicznymi można wejść z psem asystującym i psem przewodnikiem.</w:t>
      </w:r>
    </w:p>
    <w:p w14:paraId="47048E10" w14:textId="77777777" w:rsidR="000F2431" w:rsidRDefault="000F2431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1F7A668" w14:textId="79D6F867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u w:val="single"/>
          <w:lang w:eastAsia="pl-PL"/>
        </w:rPr>
        <w:t>Informacja o możliwości skorzystania z tłumacza języka migowego na miejscu lub online:</w:t>
      </w:r>
    </w:p>
    <w:p w14:paraId="14B793BD" w14:textId="77777777" w:rsidR="00581B3A" w:rsidRPr="00581B3A" w:rsidRDefault="00581B3A" w:rsidP="00394DD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W budynku nie ma możliwości </w:t>
      </w:r>
      <w:r w:rsidRPr="00581B3A">
        <w:rPr>
          <w:rFonts w:ascii="Arial" w:eastAsia="Calibri" w:hAnsi="Arial" w:cs="Arial"/>
          <w:sz w:val="24"/>
          <w:szCs w:val="24"/>
        </w:rPr>
        <w:t>skorzystania z tłumacza języka migowego na miejscu lub online.</w:t>
      </w:r>
    </w:p>
    <w:p w14:paraId="46CEDE2E" w14:textId="77777777" w:rsidR="000F2431" w:rsidRDefault="000F2431" w:rsidP="00394DD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1AB76BA" w14:textId="14CAE564" w:rsidR="00581B3A" w:rsidRPr="00581B3A" w:rsidRDefault="00581B3A" w:rsidP="00394DD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81B3A">
        <w:rPr>
          <w:rFonts w:ascii="Arial" w:eastAsia="Calibri" w:hAnsi="Arial" w:cs="Arial"/>
          <w:sz w:val="24"/>
          <w:szCs w:val="24"/>
          <w:u w:val="single"/>
        </w:rPr>
        <w:t>Pomoc w pokonaniu większych barier w budynku:</w:t>
      </w:r>
    </w:p>
    <w:p w14:paraId="09F6AFD7" w14:textId="77042518" w:rsidR="00581B3A" w:rsidRPr="00581B3A" w:rsidRDefault="00581B3A" w:rsidP="00394DD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1B3A">
        <w:rPr>
          <w:rFonts w:ascii="Arial" w:eastAsia="Times New Roman" w:hAnsi="Arial" w:cs="Arial"/>
          <w:sz w:val="24"/>
          <w:szCs w:val="24"/>
          <w:lang w:eastAsia="pl-PL"/>
        </w:rPr>
        <w:t xml:space="preserve">W przypadku braku możliwości dotarcia interesanta do wymaganego pomieszczenia lub pracownika, zapewnia się możliwość wyjścia pracownika do interesanta w dogodny dla niego sposób. Osobom ze szczególnymi potrzebami zapewnia się </w:t>
      </w:r>
      <w:r w:rsidRPr="00581B3A">
        <w:rPr>
          <w:rFonts w:ascii="Arial" w:hAnsi="Arial" w:cs="Arial"/>
          <w:color w:val="000000"/>
          <w:sz w:val="24"/>
          <w:szCs w:val="24"/>
        </w:rPr>
        <w:t>ewakuację lub ich uratowanie</w:t>
      </w:r>
      <w:r w:rsidR="00394DDC">
        <w:rPr>
          <w:rFonts w:ascii="Arial" w:hAnsi="Arial" w:cs="Arial"/>
          <w:color w:val="000000"/>
          <w:sz w:val="24"/>
          <w:szCs w:val="24"/>
        </w:rPr>
        <w:t xml:space="preserve">, w sytuacjach kryzysowych, </w:t>
      </w:r>
      <w:r w:rsidRPr="00581B3A">
        <w:rPr>
          <w:rFonts w:ascii="Arial" w:hAnsi="Arial" w:cs="Arial"/>
          <w:color w:val="000000"/>
          <w:sz w:val="24"/>
          <w:szCs w:val="24"/>
        </w:rPr>
        <w:t>poprzez względną bliskość wyjś</w:t>
      </w:r>
      <w:r w:rsidR="00132D83">
        <w:rPr>
          <w:rFonts w:ascii="Arial" w:hAnsi="Arial" w:cs="Arial"/>
          <w:color w:val="000000"/>
          <w:sz w:val="24"/>
          <w:szCs w:val="24"/>
        </w:rPr>
        <w:t>ć</w:t>
      </w:r>
      <w:r w:rsidRPr="00581B3A">
        <w:rPr>
          <w:rFonts w:ascii="Arial" w:hAnsi="Arial" w:cs="Arial"/>
          <w:color w:val="000000"/>
          <w:sz w:val="24"/>
          <w:szCs w:val="24"/>
        </w:rPr>
        <w:t xml:space="preserve"> ewakuacyjn</w:t>
      </w:r>
      <w:r w:rsidR="00132D83">
        <w:rPr>
          <w:rFonts w:ascii="Arial" w:hAnsi="Arial" w:cs="Arial"/>
          <w:color w:val="000000"/>
          <w:sz w:val="24"/>
          <w:szCs w:val="24"/>
        </w:rPr>
        <w:t>ych</w:t>
      </w:r>
      <w:r w:rsidRPr="00581B3A">
        <w:rPr>
          <w:rFonts w:ascii="Arial" w:hAnsi="Arial" w:cs="Arial"/>
          <w:color w:val="000000"/>
          <w:sz w:val="24"/>
          <w:szCs w:val="24"/>
        </w:rPr>
        <w:t xml:space="preserve"> oraz pomoc pracowników</w:t>
      </w:r>
      <w:r w:rsidR="00394DDC">
        <w:rPr>
          <w:rFonts w:ascii="Arial" w:hAnsi="Arial" w:cs="Arial"/>
          <w:color w:val="000000"/>
          <w:sz w:val="24"/>
          <w:szCs w:val="24"/>
        </w:rPr>
        <w:t xml:space="preserve"> jednostki</w:t>
      </w:r>
      <w:r w:rsidRPr="00581B3A">
        <w:rPr>
          <w:rFonts w:ascii="Arial" w:hAnsi="Arial" w:cs="Arial"/>
          <w:color w:val="000000"/>
          <w:sz w:val="24"/>
          <w:szCs w:val="24"/>
        </w:rPr>
        <w:t>.</w:t>
      </w:r>
      <w:bookmarkEnd w:id="3"/>
    </w:p>
    <w:p w14:paraId="36123485" w14:textId="77777777" w:rsidR="00F860FF" w:rsidRPr="004D7C7E" w:rsidRDefault="00F860FF" w:rsidP="00F860FF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PRZYGOTOWANIE DEKLARACJI W SPRAWIE DOSTĘPNOŚCI</w:t>
      </w:r>
    </w:p>
    <w:p w14:paraId="737591C7" w14:textId="77777777" w:rsidR="00F860FF" w:rsidRPr="004D7C7E" w:rsidRDefault="00F860FF" w:rsidP="00F860F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Deklarację sporządzono dnia: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2020-09-2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</w:p>
    <w:p w14:paraId="006679BB" w14:textId="77777777" w:rsidR="00F860FF" w:rsidRDefault="00F860FF" w:rsidP="00F860F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Deklarację została ostatnio poddana </w:t>
      </w:r>
    </w:p>
    <w:p w14:paraId="7658A6EA" w14:textId="4465D38D" w:rsidR="00F860FF" w:rsidRPr="009C2E22" w:rsidRDefault="00F860FF" w:rsidP="00F860FF">
      <w:pPr>
        <w:pStyle w:val="Akapitzlist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przeglądowi i aktualizacji dnia: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9C2E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2021-03-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8358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</w:p>
    <w:p w14:paraId="420850C0" w14:textId="77777777" w:rsidR="00F860FF" w:rsidRDefault="00F860FF" w:rsidP="00F860F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B41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Deklarację sporządzono na podstawie samooceny przeprowadzonej przez podmiot publiczny.</w:t>
      </w:r>
    </w:p>
    <w:p w14:paraId="540EB3A2" w14:textId="57F8BFEE" w:rsidR="00F860FF" w:rsidRDefault="00F860FF" w:rsidP="00F860F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860FF">
        <w:rPr>
          <w:rFonts w:ascii="Arial" w:eastAsia="Times New Roman" w:hAnsi="Arial" w:cs="Arial"/>
          <w:sz w:val="24"/>
          <w:szCs w:val="24"/>
          <w:lang w:eastAsia="pl-PL"/>
        </w:rPr>
        <w:t xml:space="preserve">Skorzystano także z narzędzia </w:t>
      </w:r>
      <w:r w:rsidRPr="00F860FF">
        <w:rPr>
          <w:rFonts w:ascii="Arial" w:hAnsi="Arial" w:cs="Arial"/>
          <w:sz w:val="24"/>
          <w:szCs w:val="24"/>
        </w:rPr>
        <w:t xml:space="preserve">do oceny strony: Test – </w:t>
      </w:r>
      <w:proofErr w:type="spellStart"/>
      <w:r w:rsidRPr="00F860FF">
        <w:rPr>
          <w:rFonts w:ascii="Arial" w:hAnsi="Arial" w:cs="Arial"/>
          <w:sz w:val="24"/>
          <w:szCs w:val="24"/>
        </w:rPr>
        <w:t>European</w:t>
      </w:r>
      <w:proofErr w:type="spellEnd"/>
      <w:r w:rsidRPr="00F860FF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F860FF">
        <w:rPr>
          <w:rFonts w:ascii="Arial" w:hAnsi="Arial" w:cs="Arial"/>
          <w:sz w:val="24"/>
          <w:szCs w:val="24"/>
        </w:rPr>
        <w:t>Inclusion</w:t>
      </w:r>
      <w:proofErr w:type="spellEnd"/>
      <w:r w:rsidRPr="00F86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60FF">
        <w:rPr>
          <w:rFonts w:ascii="Arial" w:hAnsi="Arial" w:cs="Arial"/>
          <w:sz w:val="24"/>
          <w:szCs w:val="24"/>
        </w:rPr>
        <w:t>Initiative</w:t>
      </w:r>
      <w:proofErr w:type="spellEnd"/>
      <w:r w:rsidRPr="00F860FF">
        <w:rPr>
          <w:rFonts w:ascii="Arial" w:hAnsi="Arial" w:cs="Arial"/>
          <w:sz w:val="24"/>
          <w:szCs w:val="24"/>
        </w:rPr>
        <w:t>, (pod adresem internetowym: http://checkers.eiii.eu/), który wykazał</w:t>
      </w:r>
      <w:r w:rsidR="00FC3309">
        <w:rPr>
          <w:rFonts w:ascii="Arial" w:hAnsi="Arial" w:cs="Arial"/>
          <w:sz w:val="24"/>
          <w:szCs w:val="24"/>
        </w:rPr>
        <w:t xml:space="preserve"> </w:t>
      </w:r>
      <w:r w:rsidRPr="00F860FF">
        <w:rPr>
          <w:rFonts w:ascii="Arial" w:hAnsi="Arial" w:cs="Arial"/>
          <w:sz w:val="24"/>
          <w:szCs w:val="24"/>
        </w:rPr>
        <w:t xml:space="preserve">zgodność na poziomie </w:t>
      </w:r>
      <w:r w:rsidR="00F72940">
        <w:rPr>
          <w:rFonts w:ascii="Arial" w:hAnsi="Arial" w:cs="Arial"/>
          <w:sz w:val="24"/>
          <w:szCs w:val="24"/>
        </w:rPr>
        <w:t>95</w:t>
      </w:r>
      <w:r w:rsidR="00CA0879">
        <w:rPr>
          <w:rFonts w:ascii="Arial" w:hAnsi="Arial" w:cs="Arial"/>
          <w:sz w:val="24"/>
          <w:szCs w:val="24"/>
        </w:rPr>
        <w:t>,</w:t>
      </w:r>
      <w:r w:rsidR="00F72940">
        <w:rPr>
          <w:rFonts w:ascii="Arial" w:hAnsi="Arial" w:cs="Arial"/>
          <w:sz w:val="24"/>
          <w:szCs w:val="24"/>
        </w:rPr>
        <w:t>15</w:t>
      </w:r>
      <w:r w:rsidRPr="00F860FF">
        <w:rPr>
          <w:rFonts w:ascii="Arial" w:hAnsi="Arial" w:cs="Arial"/>
          <w:sz w:val="24"/>
          <w:szCs w:val="24"/>
        </w:rPr>
        <w:t xml:space="preserve"> % </w:t>
      </w:r>
    </w:p>
    <w:p w14:paraId="530E3E8B" w14:textId="290A5415" w:rsidR="00F860FF" w:rsidRDefault="00F860FF" w:rsidP="00F860FF">
      <w:pPr>
        <w:spacing w:after="0" w:line="276" w:lineRule="auto"/>
        <w:jc w:val="both"/>
      </w:pPr>
      <w:r>
        <w:rPr>
          <w:rFonts w:ascii="Arial" w:hAnsi="Arial" w:cs="Arial"/>
          <w:sz w:val="24"/>
          <w:szCs w:val="24"/>
        </w:rPr>
        <w:t>W</w:t>
      </w:r>
      <w:r w:rsidRPr="00F860FF">
        <w:rPr>
          <w:rFonts w:ascii="Arial" w:hAnsi="Arial" w:cs="Arial"/>
          <w:sz w:val="24"/>
          <w:szCs w:val="24"/>
        </w:rPr>
        <w:t>ynik testu</w:t>
      </w:r>
      <w:r>
        <w:rPr>
          <w:rFonts w:ascii="Arial" w:hAnsi="Arial" w:cs="Arial"/>
          <w:sz w:val="24"/>
          <w:szCs w:val="24"/>
        </w:rPr>
        <w:t xml:space="preserve"> dostępny jest pod lin</w:t>
      </w:r>
      <w:r w:rsidR="00CA0879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iem</w:t>
      </w:r>
      <w:r w:rsidRPr="00F860FF">
        <w:rPr>
          <w:rFonts w:ascii="Arial" w:hAnsi="Arial" w:cs="Arial"/>
          <w:sz w:val="24"/>
          <w:szCs w:val="24"/>
        </w:rPr>
        <w:t>:</w:t>
      </w:r>
    </w:p>
    <w:p w14:paraId="074AF78D" w14:textId="7ED21132" w:rsidR="00B11BAE" w:rsidRPr="00F72940" w:rsidRDefault="00F72940" w:rsidP="00F860FF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  <w:hyperlink r:id="rId10" w:history="1">
        <w:r w:rsidRPr="00F72940">
          <w:rPr>
            <w:rStyle w:val="Hipercze"/>
            <w:rFonts w:ascii="Arial" w:hAnsi="Arial" w:cs="Arial"/>
            <w:sz w:val="24"/>
            <w:szCs w:val="24"/>
          </w:rPr>
          <w:t>http://checkers.eiii.eu/en/pagecheck2.0/?uuid=07a38617-91da-4179-a9a2-d4ea332b7e1b</w:t>
        </w:r>
      </w:hyperlink>
      <w:r w:rsidRPr="00F72940">
        <w:rPr>
          <w:rFonts w:ascii="Arial" w:hAnsi="Arial" w:cs="Arial"/>
          <w:sz w:val="24"/>
          <w:szCs w:val="24"/>
        </w:rPr>
        <w:t xml:space="preserve"> </w:t>
      </w:r>
    </w:p>
    <w:p w14:paraId="2C85E5D5" w14:textId="77777777" w:rsidR="00F72940" w:rsidRDefault="00F72940" w:rsidP="00F860FF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544D7E6" w14:textId="0321389F" w:rsidR="00F860FF" w:rsidRPr="004D7C7E" w:rsidRDefault="00F860FF" w:rsidP="00F860FF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INFORMACJE ZWROTNE I DANE KONTAKTOWE</w:t>
      </w:r>
    </w:p>
    <w:p w14:paraId="698BAA4F" w14:textId="77777777" w:rsidR="007B6D91" w:rsidRPr="004D7C7E" w:rsidRDefault="007B6D91" w:rsidP="007B6D9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rozpatrywanie uwag i wniosków odpowiada: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Agata BRATOWNIK</w:t>
      </w:r>
    </w:p>
    <w:p w14:paraId="2E118B57" w14:textId="74A86D0A" w:rsidR="007B6D91" w:rsidRDefault="007B6D91" w:rsidP="007B6D9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B15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E-mail: </w:t>
      </w:r>
      <w:hyperlink r:id="rId11" w:history="1">
        <w:r w:rsidRPr="005E173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szkolawarcz2@wp.pl</w:t>
        </w:r>
      </w:hyperlink>
    </w:p>
    <w:p w14:paraId="056BF17B" w14:textId="5DEE4F18" w:rsidR="00F860FF" w:rsidRDefault="00F860FF" w:rsidP="00F860F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B413634" w14:textId="092E750A" w:rsidR="001F15B0" w:rsidRPr="004D7C7E" w:rsidRDefault="001F15B0" w:rsidP="001F15B0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SKARGI I ODWOŁANIA</w:t>
      </w:r>
    </w:p>
    <w:p w14:paraId="2FC92283" w14:textId="77777777" w:rsidR="001F15B0" w:rsidRPr="004D7C7E" w:rsidRDefault="001F15B0" w:rsidP="001F15B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 ma prawo:</w:t>
      </w:r>
    </w:p>
    <w:p w14:paraId="523DC937" w14:textId="77777777" w:rsidR="001F15B0" w:rsidRPr="004D7C7E" w:rsidRDefault="001F15B0" w:rsidP="001F15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zgłosić uwagi dotyczące dostępności cyfrowej strony lub jej elementu,</w:t>
      </w:r>
    </w:p>
    <w:p w14:paraId="275D23B7" w14:textId="77777777" w:rsidR="001F15B0" w:rsidRPr="004D7C7E" w:rsidRDefault="001F15B0" w:rsidP="001F15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zgłosić żądanie zapewnienia dostępności cyfrowej strony lub jej elementu,</w:t>
      </w:r>
    </w:p>
    <w:p w14:paraId="3B2FEA10" w14:textId="77777777" w:rsidR="001F15B0" w:rsidRPr="00422D8C" w:rsidRDefault="001F15B0" w:rsidP="001F15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22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wnioskować o udostępnienie niedostępnej informacji w innej alternatywnej formie.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Pr="00422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 przykład przez odczytanie niedostępnego cyfrowo dokumentu, opisanie zawartości filmu bez </w:t>
      </w:r>
      <w:proofErr w:type="spellStart"/>
      <w:r w:rsidRPr="00422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audiodeskrypcji</w:t>
      </w:r>
      <w:proofErr w:type="spellEnd"/>
      <w:r w:rsidRPr="00422D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itp. </w:t>
      </w:r>
    </w:p>
    <w:p w14:paraId="383345B3" w14:textId="77777777" w:rsidR="001F15B0" w:rsidRDefault="001F15B0" w:rsidP="001F15B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205AE5C" w14:textId="77777777" w:rsidR="001F15B0" w:rsidRPr="004D7C7E" w:rsidRDefault="001F15B0" w:rsidP="001F15B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Żądanie musi zawierać:</w:t>
      </w:r>
    </w:p>
    <w:p w14:paraId="4EFEBA17" w14:textId="77777777" w:rsidR="001F15B0" w:rsidRPr="004D7C7E" w:rsidRDefault="001F15B0" w:rsidP="001F15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dane kontaktowe osoby zgłaszającej,</w:t>
      </w:r>
    </w:p>
    <w:p w14:paraId="1D35E6D0" w14:textId="77777777" w:rsidR="001F15B0" w:rsidRPr="004D7C7E" w:rsidRDefault="001F15B0" w:rsidP="001F15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wskazanie strony lub elementu strony, której dotyczy żądanie,</w:t>
      </w:r>
    </w:p>
    <w:p w14:paraId="37E486F7" w14:textId="77777777" w:rsidR="001F15B0" w:rsidRPr="004D7C7E" w:rsidRDefault="001F15B0" w:rsidP="001F15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wskazanie dogodnej formy udostępnienia informacji, jeśli żądanie dotyczy udostępnienia w formie alternatywnej informacji niedostępnej.</w:t>
      </w:r>
    </w:p>
    <w:p w14:paraId="551A7D8F" w14:textId="77777777" w:rsidR="001F15B0" w:rsidRDefault="001F15B0" w:rsidP="001F15B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44FA9E4" w14:textId="77777777" w:rsidR="001F15B0" w:rsidRDefault="001F15B0" w:rsidP="001F15B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Podmiot publiczny powinien zrealizować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żądanie niezwłocznie, nie później niż w ciągu 7 dni od dnia wystąpienia z żądaniem. Jeżeli dotrzymanie tego terminu nie jest możliwe, podmiot publiczny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niezwłocznie informuje o tym wnoszącego żądanie, kiedy realizacja żądania będzie możliwa, przy czym termin ten nie może być dłuższy niż 2 miesiące od dnia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wystąpienia z żądaniem. </w:t>
      </w:r>
    </w:p>
    <w:p w14:paraId="2F3592F4" w14:textId="77777777" w:rsidR="001F15B0" w:rsidRPr="004D7C7E" w:rsidRDefault="001F15B0" w:rsidP="001F15B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Jeżeli zapewnienie dostępności cyfrowej nie jest możliwe, podmiot publiczny może zaproponować alternatywny sposób dostępu do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informacji. W przypadku, gdy podmiot publiczny odmówi realizacji żądania zapewnienia dostępności lub alternatywnego sposobu dostępu do informacji,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wnoszący żądanie możne złożyć skargę w sprawie zapewniana dostępności cyfrowej strony internetowej, aplikacji mobilnej lub elementu strony internetowej,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 aplikacji mobilnej. Po wyczerpaniu wskazanej wyżej procedury można także złożyć wniosek do Rzecznika Praw Obywatelskich.</w:t>
      </w:r>
    </w:p>
    <w:p w14:paraId="22FE9259" w14:textId="0E845773" w:rsidR="001F15B0" w:rsidRDefault="001F15B0" w:rsidP="00F85CA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FE0C7F" w14:textId="77777777" w:rsidR="001F15B0" w:rsidRPr="0039519F" w:rsidRDefault="001F15B0" w:rsidP="001F15B0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951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STRON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Pr="003951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INET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Pr="003951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RNETOWA RZ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Pr="003951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CZNIKA PRAW OBYWATELSKICH</w:t>
      </w:r>
    </w:p>
    <w:p w14:paraId="523264DD" w14:textId="77777777" w:rsidR="001F15B0" w:rsidRDefault="001F15B0" w:rsidP="001F15B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 wyczerpaniu wskazanej wyżej procedury można także złożyć wniosek do Rzecznika Praw Obywatelskich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 </w:t>
      </w:r>
      <w:r w:rsidRPr="0039519F">
        <w:rPr>
          <w:rFonts w:ascii="Arial" w:eastAsia="Times New Roman" w:hAnsi="Arial" w:cs="Arial"/>
          <w:sz w:val="24"/>
          <w:szCs w:val="24"/>
          <w:lang w:eastAsia="pl-PL"/>
        </w:rPr>
        <w:t xml:space="preserve">linkiem: </w:t>
      </w:r>
      <w:hyperlink r:id="rId12" w:history="1">
        <w:r w:rsidRPr="003725E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https://www.rpo.gov.pl</w:t>
        </w:r>
      </w:hyperlink>
    </w:p>
    <w:p w14:paraId="196612DE" w14:textId="191BAD70" w:rsidR="004F2DE2" w:rsidRDefault="004F2DE2" w:rsidP="00F85CA7">
      <w:pPr>
        <w:spacing w:after="0" w:line="276" w:lineRule="auto"/>
        <w:jc w:val="both"/>
        <w:rPr>
          <w:rFonts w:ascii="Arial" w:hAnsi="Arial" w:cs="Arial"/>
        </w:rPr>
      </w:pPr>
    </w:p>
    <w:p w14:paraId="55D96C8A" w14:textId="1125D595" w:rsidR="00F860FF" w:rsidRDefault="00F860FF" w:rsidP="00F85CA7">
      <w:pPr>
        <w:spacing w:after="0" w:line="276" w:lineRule="auto"/>
        <w:jc w:val="both"/>
        <w:rPr>
          <w:rFonts w:ascii="Arial" w:hAnsi="Arial" w:cs="Arial"/>
        </w:rPr>
      </w:pPr>
    </w:p>
    <w:p w14:paraId="737F7ABC" w14:textId="7C9474AE" w:rsidR="00F860FF" w:rsidRDefault="00F860FF" w:rsidP="00F85CA7">
      <w:pPr>
        <w:spacing w:after="0" w:line="276" w:lineRule="auto"/>
        <w:jc w:val="both"/>
        <w:rPr>
          <w:rFonts w:ascii="Arial" w:hAnsi="Arial" w:cs="Arial"/>
        </w:rPr>
      </w:pPr>
    </w:p>
    <w:p w14:paraId="664D371D" w14:textId="3B482FC6" w:rsidR="00F860FF" w:rsidRDefault="00F860FF" w:rsidP="00F85CA7">
      <w:pPr>
        <w:spacing w:after="0" w:line="276" w:lineRule="auto"/>
        <w:jc w:val="both"/>
        <w:rPr>
          <w:rFonts w:ascii="Arial" w:hAnsi="Arial" w:cs="Arial"/>
        </w:rPr>
      </w:pPr>
    </w:p>
    <w:p w14:paraId="5B5D8968" w14:textId="2E6D49C0" w:rsidR="00F860FF" w:rsidRDefault="00F860FF" w:rsidP="00F85CA7">
      <w:pPr>
        <w:spacing w:after="0" w:line="276" w:lineRule="auto"/>
        <w:jc w:val="both"/>
        <w:rPr>
          <w:rFonts w:ascii="Arial" w:hAnsi="Arial" w:cs="Arial"/>
        </w:rPr>
      </w:pPr>
    </w:p>
    <w:p w14:paraId="31B324F7" w14:textId="409DE5E2" w:rsidR="00F860FF" w:rsidRDefault="00F860FF" w:rsidP="00F85CA7">
      <w:pPr>
        <w:spacing w:after="0" w:line="276" w:lineRule="auto"/>
        <w:jc w:val="both"/>
        <w:rPr>
          <w:rFonts w:ascii="Arial" w:hAnsi="Arial" w:cs="Arial"/>
        </w:rPr>
      </w:pPr>
    </w:p>
    <w:p w14:paraId="0488D3E4" w14:textId="10357B91" w:rsidR="00F860FF" w:rsidRDefault="00F860FF" w:rsidP="00F85CA7">
      <w:pPr>
        <w:spacing w:after="0" w:line="276" w:lineRule="auto"/>
        <w:jc w:val="both"/>
        <w:rPr>
          <w:rFonts w:ascii="Arial" w:hAnsi="Arial" w:cs="Arial"/>
        </w:rPr>
      </w:pPr>
    </w:p>
    <w:p w14:paraId="51E70BD7" w14:textId="77777777" w:rsidR="00F860FF" w:rsidRDefault="00F860FF" w:rsidP="00F85CA7">
      <w:pPr>
        <w:spacing w:after="0" w:line="276" w:lineRule="auto"/>
        <w:jc w:val="both"/>
        <w:rPr>
          <w:rFonts w:ascii="Arial" w:hAnsi="Arial" w:cs="Arial"/>
        </w:rPr>
      </w:pPr>
    </w:p>
    <w:p w14:paraId="0733E09D" w14:textId="77777777" w:rsidR="004F2DE2" w:rsidRDefault="004F2DE2" w:rsidP="00F85CA7">
      <w:pPr>
        <w:spacing w:after="0" w:line="276" w:lineRule="auto"/>
        <w:jc w:val="both"/>
        <w:rPr>
          <w:rFonts w:ascii="Arial" w:hAnsi="Arial" w:cs="Arial"/>
        </w:rPr>
      </w:pPr>
    </w:p>
    <w:p w14:paraId="534872C2" w14:textId="37782774" w:rsidR="004D7C7E" w:rsidRPr="004D7C7E" w:rsidRDefault="00110A42" w:rsidP="00F85CA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7F5420D2" w14:textId="690C8467" w:rsidR="004D7C7E" w:rsidRPr="004D7C7E" w:rsidRDefault="004D7C7E" w:rsidP="00F85CA7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D7C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Deklarację dostępności sporządzono z wykorzystaniem wzoru określonego </w:t>
      </w:r>
      <w:r w:rsidR="00350169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br/>
      </w:r>
      <w:r w:rsidRPr="004D7C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w załączniku do decyzji wykonawczej Komisji (UE) 2018/1523 z dnia 11</w:t>
      </w:r>
      <w:r w:rsidRPr="00350169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r w:rsidRPr="004D7C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października 2018 r. ustanawiającej wzór oświadczenia w sprawie dostępności zgodnie z dyrektywą Parlamentu Europejskiego i Rady (UE) 2016/2102 w</w:t>
      </w:r>
      <w:r w:rsidRPr="00350169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r w:rsidRPr="004D7C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sprawie dostępności stron internetowych i mobilnych aplikacji organów sektora publicznego (Dz. Urz. UE L 256 z 12.10.2018, str. 103), zwanej dalej</w:t>
      </w:r>
      <w:r w:rsidRPr="00350169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r w:rsidR="006158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„</w:t>
      </w:r>
      <w:r w:rsidRPr="004D7C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decyzją wykonawczą 2018/1523</w:t>
      </w:r>
      <w:r w:rsidR="0061584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”</w:t>
      </w:r>
    </w:p>
    <w:sectPr w:rsidR="004D7C7E" w:rsidRPr="004D7C7E" w:rsidSect="00F85CA7"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B5500" w14:textId="77777777" w:rsidR="00D81821" w:rsidRDefault="00D81821" w:rsidP="00514EA1">
      <w:pPr>
        <w:spacing w:after="0" w:line="240" w:lineRule="auto"/>
      </w:pPr>
      <w:r>
        <w:separator/>
      </w:r>
    </w:p>
  </w:endnote>
  <w:endnote w:type="continuationSeparator" w:id="0">
    <w:p w14:paraId="73277765" w14:textId="77777777" w:rsidR="00D81821" w:rsidRDefault="00D81821" w:rsidP="0051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1C7F8" w14:textId="77777777" w:rsidR="00D81821" w:rsidRDefault="00D81821" w:rsidP="00514EA1">
      <w:pPr>
        <w:spacing w:after="0" w:line="240" w:lineRule="auto"/>
      </w:pPr>
      <w:r>
        <w:separator/>
      </w:r>
    </w:p>
  </w:footnote>
  <w:footnote w:type="continuationSeparator" w:id="0">
    <w:p w14:paraId="5E42FFCB" w14:textId="77777777" w:rsidR="00D81821" w:rsidRDefault="00D81821" w:rsidP="00514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4075E"/>
    <w:multiLevelType w:val="hybridMultilevel"/>
    <w:tmpl w:val="8016476A"/>
    <w:lvl w:ilvl="0" w:tplc="A64A1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2183"/>
    <w:multiLevelType w:val="hybridMultilevel"/>
    <w:tmpl w:val="9CA61D64"/>
    <w:lvl w:ilvl="0" w:tplc="A64A10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1E6E06"/>
    <w:multiLevelType w:val="hybridMultilevel"/>
    <w:tmpl w:val="59CEA44E"/>
    <w:lvl w:ilvl="0" w:tplc="D28616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46F7B"/>
    <w:multiLevelType w:val="hybridMultilevel"/>
    <w:tmpl w:val="57F24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509C4"/>
    <w:multiLevelType w:val="hybridMultilevel"/>
    <w:tmpl w:val="BABAE008"/>
    <w:lvl w:ilvl="0" w:tplc="A64A1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7E"/>
    <w:rsid w:val="00090EFB"/>
    <w:rsid w:val="00093B84"/>
    <w:rsid w:val="000B55A0"/>
    <w:rsid w:val="000F2431"/>
    <w:rsid w:val="00110A42"/>
    <w:rsid w:val="00132D83"/>
    <w:rsid w:val="00167CF4"/>
    <w:rsid w:val="00170BCF"/>
    <w:rsid w:val="00192624"/>
    <w:rsid w:val="001938F9"/>
    <w:rsid w:val="001A501A"/>
    <w:rsid w:val="001D7DAE"/>
    <w:rsid w:val="001F15B0"/>
    <w:rsid w:val="002026CE"/>
    <w:rsid w:val="00220A08"/>
    <w:rsid w:val="002465A7"/>
    <w:rsid w:val="002522BB"/>
    <w:rsid w:val="00275787"/>
    <w:rsid w:val="002C6209"/>
    <w:rsid w:val="002F79C1"/>
    <w:rsid w:val="00340E5B"/>
    <w:rsid w:val="00342684"/>
    <w:rsid w:val="00350169"/>
    <w:rsid w:val="0036596C"/>
    <w:rsid w:val="00371E93"/>
    <w:rsid w:val="003736AA"/>
    <w:rsid w:val="00385080"/>
    <w:rsid w:val="00394DDC"/>
    <w:rsid w:val="003D3679"/>
    <w:rsid w:val="004079C0"/>
    <w:rsid w:val="00415A30"/>
    <w:rsid w:val="004227EF"/>
    <w:rsid w:val="00422D8C"/>
    <w:rsid w:val="00446356"/>
    <w:rsid w:val="0045516A"/>
    <w:rsid w:val="004903FE"/>
    <w:rsid w:val="004937D7"/>
    <w:rsid w:val="004D7C7E"/>
    <w:rsid w:val="004F2DE2"/>
    <w:rsid w:val="004F46E0"/>
    <w:rsid w:val="00510C25"/>
    <w:rsid w:val="00514EA1"/>
    <w:rsid w:val="00563DBD"/>
    <w:rsid w:val="00581B3A"/>
    <w:rsid w:val="0059150D"/>
    <w:rsid w:val="00597B28"/>
    <w:rsid w:val="00600703"/>
    <w:rsid w:val="0061584F"/>
    <w:rsid w:val="00623F1A"/>
    <w:rsid w:val="00685455"/>
    <w:rsid w:val="006A0DC4"/>
    <w:rsid w:val="006B1E29"/>
    <w:rsid w:val="006F2ADC"/>
    <w:rsid w:val="00721699"/>
    <w:rsid w:val="00731179"/>
    <w:rsid w:val="00744032"/>
    <w:rsid w:val="00761616"/>
    <w:rsid w:val="007738FE"/>
    <w:rsid w:val="007B6D91"/>
    <w:rsid w:val="007D49CE"/>
    <w:rsid w:val="00835838"/>
    <w:rsid w:val="008437B7"/>
    <w:rsid w:val="00884E6C"/>
    <w:rsid w:val="008C6069"/>
    <w:rsid w:val="008F4F48"/>
    <w:rsid w:val="009035FC"/>
    <w:rsid w:val="0091121B"/>
    <w:rsid w:val="00915246"/>
    <w:rsid w:val="00950930"/>
    <w:rsid w:val="00961531"/>
    <w:rsid w:val="009858F2"/>
    <w:rsid w:val="00990402"/>
    <w:rsid w:val="009A3200"/>
    <w:rsid w:val="009C2703"/>
    <w:rsid w:val="009F2143"/>
    <w:rsid w:val="00A20322"/>
    <w:rsid w:val="00A66745"/>
    <w:rsid w:val="00A912A2"/>
    <w:rsid w:val="00A9390E"/>
    <w:rsid w:val="00A964FA"/>
    <w:rsid w:val="00AB4238"/>
    <w:rsid w:val="00AB6377"/>
    <w:rsid w:val="00AC11BB"/>
    <w:rsid w:val="00AC68A5"/>
    <w:rsid w:val="00AE5377"/>
    <w:rsid w:val="00AF0ACC"/>
    <w:rsid w:val="00AF5191"/>
    <w:rsid w:val="00B11BAE"/>
    <w:rsid w:val="00B4231C"/>
    <w:rsid w:val="00B51FD8"/>
    <w:rsid w:val="00B54F85"/>
    <w:rsid w:val="00B770CC"/>
    <w:rsid w:val="00B77C54"/>
    <w:rsid w:val="00BD1F55"/>
    <w:rsid w:val="00BE783B"/>
    <w:rsid w:val="00BF4501"/>
    <w:rsid w:val="00C408E0"/>
    <w:rsid w:val="00CA0879"/>
    <w:rsid w:val="00CB0D49"/>
    <w:rsid w:val="00CB12EB"/>
    <w:rsid w:val="00D15F12"/>
    <w:rsid w:val="00D55860"/>
    <w:rsid w:val="00D81821"/>
    <w:rsid w:val="00E31366"/>
    <w:rsid w:val="00E92EBD"/>
    <w:rsid w:val="00EE0FBF"/>
    <w:rsid w:val="00F22861"/>
    <w:rsid w:val="00F47C70"/>
    <w:rsid w:val="00F72940"/>
    <w:rsid w:val="00F85CA7"/>
    <w:rsid w:val="00F860FF"/>
    <w:rsid w:val="00F94711"/>
    <w:rsid w:val="00FC3309"/>
    <w:rsid w:val="00FD728C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897A"/>
  <w15:chartTrackingRefBased/>
  <w15:docId w15:val="{6F3AE8FB-99F9-459F-B79E-FE14E480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D7C7E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F85CA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36A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E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E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EA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860F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3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3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3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3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3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warcz@w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spswarcz.pl/" TargetMode="External"/><Relationship Id="rId12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kolawarcz2@w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heckers.eiii.eu/en/pagecheck2.0/?uuid=07a38617-91da-4179-a9a2-d4ea332b7e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spswarcz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1443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103</cp:revision>
  <dcterms:created xsi:type="dcterms:W3CDTF">2020-09-22T11:48:00Z</dcterms:created>
  <dcterms:modified xsi:type="dcterms:W3CDTF">2021-03-25T20:30:00Z</dcterms:modified>
</cp:coreProperties>
</file>