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81EE7" w14:textId="77777777" w:rsidR="00C0152D" w:rsidRPr="00897FB3" w:rsidRDefault="00C0152D" w:rsidP="00897FB3">
      <w:pPr>
        <w:contextualSpacing/>
        <w:jc w:val="right"/>
        <w:rPr>
          <w:sz w:val="20"/>
          <w:szCs w:val="20"/>
        </w:rPr>
      </w:pPr>
      <w:bookmarkStart w:id="0" w:name="_GoBack"/>
      <w:bookmarkEnd w:id="0"/>
      <w:r w:rsidRPr="00897FB3">
        <w:t xml:space="preserve">                                                                                                        </w:t>
      </w:r>
      <w:r w:rsidRPr="00897FB3">
        <w:rPr>
          <w:sz w:val="20"/>
          <w:szCs w:val="20"/>
        </w:rPr>
        <w:t xml:space="preserve">załącznik nr 1 do zapytania ofertowego                                                                                                       </w:t>
      </w:r>
    </w:p>
    <w:p w14:paraId="5EA66074" w14:textId="77777777" w:rsidR="00F9441F" w:rsidRPr="00897FB3" w:rsidRDefault="00F9441F" w:rsidP="006B503C">
      <w:pPr>
        <w:contextualSpacing/>
        <w:jc w:val="both"/>
      </w:pPr>
    </w:p>
    <w:p w14:paraId="2FCF287E" w14:textId="77777777" w:rsidR="00F9441F" w:rsidRPr="00897FB3" w:rsidRDefault="00F9441F" w:rsidP="006B503C">
      <w:pPr>
        <w:jc w:val="both"/>
      </w:pPr>
    </w:p>
    <w:p w14:paraId="39514842" w14:textId="6F145914" w:rsidR="00F9441F" w:rsidRPr="00897FB3" w:rsidRDefault="00F9441F" w:rsidP="006B503C">
      <w:pPr>
        <w:jc w:val="both"/>
      </w:pPr>
      <w:r w:rsidRPr="00897FB3">
        <w:rPr>
          <w:b/>
          <w:bCs/>
        </w:rPr>
        <w:t xml:space="preserve">Szczegółowy opis </w:t>
      </w:r>
      <w:r w:rsidR="00DD4BC8">
        <w:rPr>
          <w:b/>
          <w:bCs/>
        </w:rPr>
        <w:t xml:space="preserve">przedmiotu </w:t>
      </w:r>
      <w:r w:rsidRPr="00897FB3">
        <w:rPr>
          <w:b/>
          <w:bCs/>
        </w:rPr>
        <w:t>zamówienia</w:t>
      </w:r>
    </w:p>
    <w:p w14:paraId="7E4DE7AF" w14:textId="77777777" w:rsidR="00F9441F" w:rsidRPr="00897FB3" w:rsidRDefault="00F9441F" w:rsidP="006B503C">
      <w:pPr>
        <w:contextualSpacing/>
        <w:jc w:val="both"/>
      </w:pPr>
      <w:r w:rsidRPr="00897FB3">
        <w:t>Zamawiający:</w:t>
      </w:r>
    </w:p>
    <w:p w14:paraId="0DBE315E" w14:textId="77777777" w:rsidR="00F9441F" w:rsidRPr="00897FB3" w:rsidRDefault="00F9441F" w:rsidP="006B503C">
      <w:pPr>
        <w:contextualSpacing/>
        <w:jc w:val="both"/>
      </w:pPr>
      <w:r w:rsidRPr="00897FB3">
        <w:t>Szkoła Podstawowa nr 4 im. H. Sienkiewicza</w:t>
      </w:r>
    </w:p>
    <w:p w14:paraId="5478A250" w14:textId="77777777" w:rsidR="00F9441F" w:rsidRPr="00897FB3" w:rsidRDefault="00F9441F" w:rsidP="006B503C">
      <w:pPr>
        <w:contextualSpacing/>
        <w:jc w:val="both"/>
      </w:pPr>
      <w:r w:rsidRPr="00897FB3">
        <w:t>ul. Żeromskiego 53</w:t>
      </w:r>
    </w:p>
    <w:p w14:paraId="32F7B5A0" w14:textId="77777777" w:rsidR="00F9441F" w:rsidRPr="00897FB3" w:rsidRDefault="00F9441F" w:rsidP="006B503C">
      <w:pPr>
        <w:contextualSpacing/>
        <w:jc w:val="both"/>
      </w:pPr>
      <w:r w:rsidRPr="00897FB3">
        <w:t>97-425 Zelów</w:t>
      </w:r>
    </w:p>
    <w:p w14:paraId="63FF7771" w14:textId="77777777" w:rsidR="00897FB3" w:rsidRPr="00897FB3" w:rsidRDefault="00897FB3" w:rsidP="006B503C">
      <w:pPr>
        <w:contextualSpacing/>
        <w:jc w:val="both"/>
      </w:pPr>
    </w:p>
    <w:p w14:paraId="5A960C5B" w14:textId="77777777" w:rsidR="006B503C" w:rsidRPr="00897FB3" w:rsidRDefault="006E1DE4" w:rsidP="006B503C">
      <w:pPr>
        <w:pStyle w:val="Akapitzlist"/>
        <w:numPr>
          <w:ilvl w:val="0"/>
          <w:numId w:val="1"/>
        </w:numPr>
        <w:jc w:val="both"/>
      </w:pPr>
      <w:r w:rsidRPr="00897FB3">
        <w:t xml:space="preserve"> PRZEDMIOT ZAMÓWIENIA</w:t>
      </w:r>
    </w:p>
    <w:p w14:paraId="535C0528" w14:textId="41E8AA98" w:rsidR="00DD4BC8" w:rsidRDefault="00B42085" w:rsidP="00DD4BC8">
      <w:pPr>
        <w:pStyle w:val="Akapitzlist"/>
        <w:ind w:left="1080"/>
        <w:jc w:val="both"/>
      </w:pPr>
      <w:bookmarkStart w:id="1" w:name="_Hlk133310783"/>
      <w:bookmarkStart w:id="2" w:name="_Hlk133319645"/>
      <w:r>
        <w:rPr>
          <w:b/>
          <w:bCs/>
        </w:rPr>
        <w:t>Dostawa</w:t>
      </w:r>
      <w:r w:rsidR="006E1DE4" w:rsidRPr="00436826">
        <w:rPr>
          <w:b/>
          <w:bCs/>
        </w:rPr>
        <w:t xml:space="preserve"> i montaż </w:t>
      </w:r>
      <w:r w:rsidR="00DD4BC8" w:rsidRPr="00436826">
        <w:rPr>
          <w:b/>
          <w:bCs/>
        </w:rPr>
        <w:t xml:space="preserve">sprzętu sportowego </w:t>
      </w:r>
      <w:bookmarkStart w:id="3" w:name="_Hlk133227721"/>
      <w:r w:rsidR="00DD4BC8" w:rsidRPr="00436826">
        <w:rPr>
          <w:b/>
          <w:bCs/>
        </w:rPr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bookmarkEnd w:id="1"/>
      <w:bookmarkEnd w:id="3"/>
      <w:r w:rsidR="00DD4BC8" w:rsidRPr="00897FB3">
        <w:t>:</w:t>
      </w:r>
    </w:p>
    <w:bookmarkEnd w:id="2"/>
    <w:p w14:paraId="6373366A" w14:textId="77777777" w:rsidR="00DD735A" w:rsidRPr="000754CF" w:rsidRDefault="00DD735A" w:rsidP="00DD4BC8">
      <w:pPr>
        <w:pStyle w:val="Akapitzlist"/>
        <w:ind w:left="1080"/>
        <w:jc w:val="both"/>
      </w:pPr>
    </w:p>
    <w:tbl>
      <w:tblPr>
        <w:tblStyle w:val="Tabela-Siatka"/>
        <w:tblW w:w="1374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8"/>
        <w:gridCol w:w="993"/>
        <w:gridCol w:w="8646"/>
      </w:tblGrid>
      <w:tr w:rsidR="00630B40" w:rsidRPr="00897FB3" w14:paraId="4EA088E0" w14:textId="77777777" w:rsidTr="00630B40">
        <w:tc>
          <w:tcPr>
            <w:tcW w:w="567" w:type="dxa"/>
            <w:shd w:val="clear" w:color="auto" w:fill="auto"/>
          </w:tcPr>
          <w:p w14:paraId="27C0D5F8" w14:textId="0652AD23" w:rsidR="00630B40" w:rsidRPr="00630B40" w:rsidRDefault="00630B40" w:rsidP="006B503C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bookmarkStart w:id="4" w:name="__DdeLink__920_3072245258"/>
            <w:bookmarkStart w:id="5" w:name="_Hlk133317288"/>
            <w:bookmarkEnd w:id="4"/>
            <w:r w:rsidRPr="00630B4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2BDD4889" w14:textId="77777777" w:rsidR="00630B40" w:rsidRPr="00630B40" w:rsidRDefault="00630B40" w:rsidP="006B503C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nazwa towaru/usługi</w:t>
            </w:r>
          </w:p>
        </w:tc>
        <w:tc>
          <w:tcPr>
            <w:tcW w:w="708" w:type="dxa"/>
            <w:shd w:val="clear" w:color="auto" w:fill="auto"/>
          </w:tcPr>
          <w:p w14:paraId="63348782" w14:textId="77777777" w:rsidR="00630B40" w:rsidRPr="00630B40" w:rsidRDefault="00630B40" w:rsidP="006B503C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il.</w:t>
            </w:r>
          </w:p>
        </w:tc>
        <w:tc>
          <w:tcPr>
            <w:tcW w:w="993" w:type="dxa"/>
            <w:shd w:val="clear" w:color="auto" w:fill="auto"/>
          </w:tcPr>
          <w:p w14:paraId="713F7AF6" w14:textId="77777777" w:rsidR="00630B40" w:rsidRPr="00630B40" w:rsidRDefault="00630B40" w:rsidP="006B503C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8646" w:type="dxa"/>
          </w:tcPr>
          <w:p w14:paraId="2B5D2F6C" w14:textId="77777777" w:rsidR="00630B40" w:rsidRPr="00630B40" w:rsidRDefault="00630B40" w:rsidP="006B503C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 xml:space="preserve">opis towaru </w:t>
            </w:r>
          </w:p>
        </w:tc>
      </w:tr>
      <w:tr w:rsidR="00630B40" w:rsidRPr="00897FB3" w14:paraId="293DA094" w14:textId="77777777" w:rsidTr="00630B40">
        <w:tc>
          <w:tcPr>
            <w:tcW w:w="13749" w:type="dxa"/>
            <w:gridSpan w:val="5"/>
            <w:shd w:val="clear" w:color="auto" w:fill="auto"/>
          </w:tcPr>
          <w:p w14:paraId="4AB539D0" w14:textId="4413FD50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Część 1 – Zakup i montaż sprzętu sportowego, trwale mocowanego do podłoża – bramki boiska do piłki nożnej</w:t>
            </w:r>
          </w:p>
        </w:tc>
      </w:tr>
      <w:tr w:rsidR="00630B40" w:rsidRPr="00897FB3" w14:paraId="36FDD2C1" w14:textId="77777777" w:rsidTr="00630B40">
        <w:tc>
          <w:tcPr>
            <w:tcW w:w="567" w:type="dxa"/>
            <w:shd w:val="clear" w:color="auto" w:fill="auto"/>
          </w:tcPr>
          <w:p w14:paraId="240DC67B" w14:textId="6B886CB2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F8417E1" w14:textId="08ADB995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Bramki do piłki nożnej</w:t>
            </w:r>
          </w:p>
        </w:tc>
        <w:tc>
          <w:tcPr>
            <w:tcW w:w="708" w:type="dxa"/>
            <w:shd w:val="clear" w:color="auto" w:fill="auto"/>
          </w:tcPr>
          <w:p w14:paraId="4994D93F" w14:textId="0BB5405B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E5F1CCD" w14:textId="43729184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51E0D949" w14:textId="1D45401C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 xml:space="preserve"> Bramki do piłki nożnej (5x2 m), profil aluminiowy  120 x 100 mm, z łukami składanymi, mocowane w tulejach osadzonych w podłożu (tuleje w komplecie). (1 para = 2 szt.)</w:t>
            </w:r>
          </w:p>
        </w:tc>
      </w:tr>
      <w:tr w:rsidR="00630B40" w:rsidRPr="00897FB3" w14:paraId="72A46BBC" w14:textId="77777777" w:rsidTr="00630B40">
        <w:tc>
          <w:tcPr>
            <w:tcW w:w="567" w:type="dxa"/>
            <w:shd w:val="clear" w:color="auto" w:fill="auto"/>
          </w:tcPr>
          <w:p w14:paraId="1C1D1C66" w14:textId="6BBECDAA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3D744C8" w14:textId="04B92CC5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 xml:space="preserve">Siatka do bramki do piłki nożnej </w:t>
            </w:r>
          </w:p>
        </w:tc>
        <w:tc>
          <w:tcPr>
            <w:tcW w:w="708" w:type="dxa"/>
            <w:shd w:val="clear" w:color="auto" w:fill="auto"/>
          </w:tcPr>
          <w:p w14:paraId="14766A53" w14:textId="4EF736B1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DD9B870" w14:textId="7CF9F5D2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448562B3" w14:textId="1C586B1C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Siatka do bramki do piłki nożnej (1 para = 2 szt.)</w:t>
            </w:r>
          </w:p>
        </w:tc>
      </w:tr>
      <w:tr w:rsidR="00630B40" w:rsidRPr="00897FB3" w14:paraId="7532726A" w14:textId="77777777" w:rsidTr="00630B40">
        <w:tc>
          <w:tcPr>
            <w:tcW w:w="567" w:type="dxa"/>
            <w:shd w:val="clear" w:color="auto" w:fill="auto"/>
          </w:tcPr>
          <w:p w14:paraId="79817BE5" w14:textId="11E4ED45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777AEE7C" w14:textId="0711C15B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Chorągiewki przegubowe do zaznaczania narożników boiska</w:t>
            </w:r>
          </w:p>
        </w:tc>
        <w:tc>
          <w:tcPr>
            <w:tcW w:w="708" w:type="dxa"/>
            <w:shd w:val="clear" w:color="auto" w:fill="auto"/>
          </w:tcPr>
          <w:p w14:paraId="421BF346" w14:textId="4F336BAB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5509162" w14:textId="28D9A215" w:rsidR="00630B40" w:rsidRPr="00630B40" w:rsidRDefault="00DD735A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30B40" w:rsidRPr="00630B40">
              <w:rPr>
                <w:sz w:val="22"/>
                <w:szCs w:val="22"/>
              </w:rPr>
              <w:t xml:space="preserve">omplet </w:t>
            </w:r>
          </w:p>
        </w:tc>
        <w:tc>
          <w:tcPr>
            <w:tcW w:w="8646" w:type="dxa"/>
          </w:tcPr>
          <w:p w14:paraId="3EE624FC" w14:textId="26DBF9EC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Chorągiewki przegubowe do zaznaczania narożników boiska ( 1 komplet = 4 szt.)</w:t>
            </w:r>
          </w:p>
        </w:tc>
      </w:tr>
      <w:tr w:rsidR="00630B40" w:rsidRPr="00897FB3" w14:paraId="13E32845" w14:textId="77777777" w:rsidTr="00630B40">
        <w:tc>
          <w:tcPr>
            <w:tcW w:w="567" w:type="dxa"/>
            <w:shd w:val="clear" w:color="auto" w:fill="auto"/>
          </w:tcPr>
          <w:p w14:paraId="3D66444D" w14:textId="166F22F2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17571DBC" w14:textId="2CD5A04B" w:rsidR="00630B40" w:rsidRPr="00630B40" w:rsidRDefault="00813EFE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Demontaż starych bramek i m</w:t>
            </w:r>
            <w:r w:rsidRPr="00630B40">
              <w:rPr>
                <w:sz w:val="22"/>
                <w:szCs w:val="22"/>
              </w:rPr>
              <w:t xml:space="preserve">ontaż </w:t>
            </w:r>
            <w:r>
              <w:rPr>
                <w:sz w:val="22"/>
                <w:szCs w:val="22"/>
              </w:rPr>
              <w:t xml:space="preserve">nowych  </w:t>
            </w:r>
            <w:r w:rsidR="00630B40" w:rsidRPr="00630B40">
              <w:rPr>
                <w:sz w:val="22"/>
                <w:szCs w:val="22"/>
              </w:rPr>
              <w:t>bramek na istniejących tulejach</w:t>
            </w:r>
          </w:p>
        </w:tc>
        <w:tc>
          <w:tcPr>
            <w:tcW w:w="708" w:type="dxa"/>
            <w:shd w:val="clear" w:color="auto" w:fill="auto"/>
          </w:tcPr>
          <w:p w14:paraId="041C6E06" w14:textId="527981CE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1B57C8C" w14:textId="1A758DF6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3A77F2AF" w14:textId="65BBDDD5" w:rsidR="00630B40" w:rsidRPr="00630B40" w:rsidRDefault="00813EFE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Demontaż starych bramek i m</w:t>
            </w:r>
            <w:r w:rsidRPr="00630B40">
              <w:rPr>
                <w:sz w:val="22"/>
                <w:szCs w:val="22"/>
              </w:rPr>
              <w:t xml:space="preserve">ontaż </w:t>
            </w:r>
            <w:r>
              <w:rPr>
                <w:sz w:val="22"/>
                <w:szCs w:val="22"/>
              </w:rPr>
              <w:t xml:space="preserve">nowych </w:t>
            </w:r>
            <w:r w:rsidR="00630B40" w:rsidRPr="00630B40">
              <w:rPr>
                <w:sz w:val="22"/>
                <w:szCs w:val="22"/>
              </w:rPr>
              <w:t>bramek na istniejących tulejach</w:t>
            </w:r>
          </w:p>
        </w:tc>
      </w:tr>
      <w:tr w:rsidR="00630B40" w:rsidRPr="00897FB3" w14:paraId="1A5A807D" w14:textId="77777777" w:rsidTr="00630B40">
        <w:tc>
          <w:tcPr>
            <w:tcW w:w="13749" w:type="dxa"/>
            <w:gridSpan w:val="5"/>
            <w:shd w:val="clear" w:color="auto" w:fill="auto"/>
          </w:tcPr>
          <w:p w14:paraId="0B4BAFB8" w14:textId="471B67CD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Część 2 – Zakup i montaż piłkochwytów na boisku</w:t>
            </w:r>
          </w:p>
        </w:tc>
      </w:tr>
      <w:tr w:rsidR="00630B40" w:rsidRPr="00897FB3" w14:paraId="6B226A7A" w14:textId="77777777" w:rsidTr="00630B40">
        <w:tc>
          <w:tcPr>
            <w:tcW w:w="567" w:type="dxa"/>
            <w:shd w:val="clear" w:color="auto" w:fill="auto"/>
          </w:tcPr>
          <w:p w14:paraId="0C8C8ECD" w14:textId="409C5E34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74EF6A3" w14:textId="2C9538F8" w:rsidR="00630B40" w:rsidRPr="00630B40" w:rsidRDefault="00BC2235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630B40" w:rsidRPr="00630B40">
              <w:rPr>
                <w:sz w:val="22"/>
                <w:szCs w:val="22"/>
              </w:rPr>
              <w:t xml:space="preserve">iatka ochronna na boisko zewnętrzne  </w:t>
            </w:r>
          </w:p>
        </w:tc>
        <w:tc>
          <w:tcPr>
            <w:tcW w:w="708" w:type="dxa"/>
            <w:shd w:val="clear" w:color="auto" w:fill="auto"/>
          </w:tcPr>
          <w:p w14:paraId="7B588C79" w14:textId="3C891DAE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290</w:t>
            </w:r>
          </w:p>
        </w:tc>
        <w:tc>
          <w:tcPr>
            <w:tcW w:w="993" w:type="dxa"/>
            <w:shd w:val="clear" w:color="auto" w:fill="auto"/>
          </w:tcPr>
          <w:p w14:paraId="0F12062E" w14:textId="73446351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m</w:t>
            </w:r>
            <w:r w:rsidRPr="00630B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46" w:type="dxa"/>
          </w:tcPr>
          <w:p w14:paraId="4183CEE1" w14:textId="21A302BA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 xml:space="preserve"> siatka ochronna na boisko zewnętrzne  polietylenowa (PE), oczka 100x 100mm, gr. splotu 4 mm, kolor zielony</w:t>
            </w:r>
          </w:p>
        </w:tc>
      </w:tr>
      <w:tr w:rsidR="00630B40" w:rsidRPr="00897FB3" w14:paraId="51A6B644" w14:textId="77777777" w:rsidTr="00630B40">
        <w:tc>
          <w:tcPr>
            <w:tcW w:w="567" w:type="dxa"/>
            <w:shd w:val="clear" w:color="auto" w:fill="auto"/>
          </w:tcPr>
          <w:p w14:paraId="225BC50E" w14:textId="49D6C4E3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35A37D55" w14:textId="034471DC" w:rsidR="00630B40" w:rsidRPr="00630B40" w:rsidRDefault="00BC2235" w:rsidP="00453777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Demontaż starych siatek piłkochwytów i montaż nowych </w:t>
            </w:r>
            <w:r w:rsidR="00630B40" w:rsidRPr="00630B40">
              <w:rPr>
                <w:sz w:val="22"/>
                <w:szCs w:val="22"/>
              </w:rPr>
              <w:t xml:space="preserve"> siatek piłkochwytów na boisku sportowym</w:t>
            </w:r>
            <w:r w:rsidR="00453777">
              <w:rPr>
                <w:sz w:val="22"/>
                <w:szCs w:val="22"/>
              </w:rPr>
              <w:t>.</w:t>
            </w:r>
            <w:r w:rsidR="00630B40" w:rsidRPr="00630B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5C0BF826" w14:textId="42EE5F2A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23BB494" w14:textId="4DC59810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57CFCA9E" w14:textId="77777777" w:rsidR="00630B40" w:rsidRDefault="00BC2235" w:rsidP="00453777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Demontaż starych siatek piłkochwytów i montaż nowych </w:t>
            </w:r>
            <w:r w:rsidRPr="00630B40">
              <w:rPr>
                <w:sz w:val="22"/>
                <w:szCs w:val="22"/>
              </w:rPr>
              <w:t xml:space="preserve"> siatek piłkochwytów na boisku sportowym </w:t>
            </w:r>
            <w:r w:rsidR="00453777" w:rsidRPr="00630B40">
              <w:rPr>
                <w:sz w:val="22"/>
                <w:szCs w:val="22"/>
              </w:rPr>
              <w:t xml:space="preserve">łącznie z elementami montażowymi </w:t>
            </w:r>
            <w:r w:rsidR="00453777">
              <w:rPr>
                <w:sz w:val="22"/>
                <w:szCs w:val="22"/>
              </w:rPr>
              <w:t>(</w:t>
            </w:r>
            <w:r w:rsidR="00453777" w:rsidRPr="00630B40">
              <w:rPr>
                <w:sz w:val="22"/>
                <w:szCs w:val="22"/>
              </w:rPr>
              <w:t>olinowanie, karabińczyki teflonowe)</w:t>
            </w:r>
            <w:r w:rsidR="00453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</w:t>
            </w:r>
            <w:r w:rsidRPr="00453777">
              <w:rPr>
                <w:color w:val="auto"/>
                <w:sz w:val="22"/>
                <w:szCs w:val="22"/>
              </w:rPr>
              <w:t>istnieją</w:t>
            </w:r>
            <w:r w:rsidR="00453777">
              <w:rPr>
                <w:color w:val="auto"/>
                <w:sz w:val="22"/>
                <w:szCs w:val="22"/>
              </w:rPr>
              <w:t>cym metalowym stelażu trwale przymocowanym do podłoża.</w:t>
            </w:r>
            <w:r w:rsidRPr="00BC2235">
              <w:rPr>
                <w:color w:val="FF0000"/>
                <w:sz w:val="22"/>
                <w:szCs w:val="22"/>
              </w:rPr>
              <w:t xml:space="preserve"> </w:t>
            </w:r>
          </w:p>
          <w:p w14:paraId="599CF2AD" w14:textId="77777777" w:rsidR="00453777" w:rsidRDefault="00453777" w:rsidP="00453777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7516CA89" w14:textId="77777777" w:rsidR="00453777" w:rsidRDefault="00453777" w:rsidP="00453777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  <w:p w14:paraId="578B6562" w14:textId="5BD364D3" w:rsidR="00453777" w:rsidRPr="00630B40" w:rsidRDefault="00453777" w:rsidP="00453777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30B40" w:rsidRPr="00897FB3" w14:paraId="41CE7C44" w14:textId="77777777" w:rsidTr="00630B40">
        <w:tc>
          <w:tcPr>
            <w:tcW w:w="13749" w:type="dxa"/>
            <w:gridSpan w:val="5"/>
            <w:shd w:val="clear" w:color="auto" w:fill="auto"/>
          </w:tcPr>
          <w:p w14:paraId="32C135AE" w14:textId="2CE06EBE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lastRenderedPageBreak/>
              <w:t>Część 3 – Zakup i montaż sprzętu sportowego, trwale mocowanego do podłoża – bramki boiska do piłki ręcznej</w:t>
            </w:r>
          </w:p>
        </w:tc>
      </w:tr>
      <w:tr w:rsidR="00630B40" w:rsidRPr="00897FB3" w14:paraId="28E0323B" w14:textId="77777777" w:rsidTr="00630B40">
        <w:tc>
          <w:tcPr>
            <w:tcW w:w="567" w:type="dxa"/>
            <w:shd w:val="clear" w:color="auto" w:fill="auto"/>
          </w:tcPr>
          <w:p w14:paraId="7FAFCFD7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6C55C7A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 xml:space="preserve">Bramki do piłki ręcznej </w:t>
            </w:r>
          </w:p>
        </w:tc>
        <w:tc>
          <w:tcPr>
            <w:tcW w:w="708" w:type="dxa"/>
            <w:shd w:val="clear" w:color="auto" w:fill="auto"/>
          </w:tcPr>
          <w:p w14:paraId="2C79610E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78D1A6C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0B3B6DE4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Bramki do piłki ręcznej profesjonalne aluminiowe wzmocnione (3x2 m), profil 80x80mm żebrowany, z łukami stałymi, tulejowane – przedłużone. Wszystkie stalowe elementy ocynkowane. Rama główna bramki łączona w narożach za pomocą specjalnego elementu stalowego z możliwością demontażu. (1 para = 2 szt.)</w:t>
            </w:r>
          </w:p>
        </w:tc>
      </w:tr>
      <w:tr w:rsidR="00630B40" w:rsidRPr="00897FB3" w14:paraId="1FE204CF" w14:textId="77777777" w:rsidTr="00630B40">
        <w:tc>
          <w:tcPr>
            <w:tcW w:w="567" w:type="dxa"/>
            <w:shd w:val="clear" w:color="auto" w:fill="auto"/>
          </w:tcPr>
          <w:p w14:paraId="3BF3C83E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255BEF4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 xml:space="preserve">Tuleja montażowa słupka </w:t>
            </w:r>
          </w:p>
        </w:tc>
        <w:tc>
          <w:tcPr>
            <w:tcW w:w="708" w:type="dxa"/>
            <w:shd w:val="clear" w:color="auto" w:fill="auto"/>
          </w:tcPr>
          <w:p w14:paraId="7E8B549A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239A077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37CDCD46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Tuleja montażowa słupka 80x80 mm, stalowa cynkowana ogniowo ( 1 para= 4 szt.)</w:t>
            </w:r>
          </w:p>
        </w:tc>
      </w:tr>
      <w:tr w:rsidR="00630B40" w:rsidRPr="00897FB3" w14:paraId="10BB4A3A" w14:textId="77777777" w:rsidTr="00630B40">
        <w:tc>
          <w:tcPr>
            <w:tcW w:w="567" w:type="dxa"/>
            <w:shd w:val="clear" w:color="auto" w:fill="auto"/>
          </w:tcPr>
          <w:p w14:paraId="3CDF2D93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8E438F7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Siatki do piłki ręcznej</w:t>
            </w:r>
          </w:p>
        </w:tc>
        <w:tc>
          <w:tcPr>
            <w:tcW w:w="708" w:type="dxa"/>
            <w:shd w:val="clear" w:color="auto" w:fill="auto"/>
          </w:tcPr>
          <w:p w14:paraId="466A5065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79B0569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para</w:t>
            </w:r>
          </w:p>
        </w:tc>
        <w:tc>
          <w:tcPr>
            <w:tcW w:w="8646" w:type="dxa"/>
          </w:tcPr>
          <w:p w14:paraId="112B7B5E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Siatki do piłki ręcznej turniejowe bez piłkochwytów, gr. splotu 4 mm PP lub PE (1 para = 2 szt.)</w:t>
            </w:r>
          </w:p>
        </w:tc>
      </w:tr>
      <w:tr w:rsidR="00630B40" w:rsidRPr="00897FB3" w14:paraId="0CDB26FB" w14:textId="77777777" w:rsidTr="00630B40">
        <w:tc>
          <w:tcPr>
            <w:tcW w:w="567" w:type="dxa"/>
            <w:shd w:val="clear" w:color="auto" w:fill="auto"/>
          </w:tcPr>
          <w:p w14:paraId="7C1B43C5" w14:textId="77777777" w:rsidR="00630B40" w:rsidRPr="00630B40" w:rsidRDefault="00630B40" w:rsidP="00630B4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3D03DF51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Montaż bramek tulejowanych do piłki ręcznej w podbudowie boiska</w:t>
            </w:r>
          </w:p>
        </w:tc>
        <w:tc>
          <w:tcPr>
            <w:tcW w:w="708" w:type="dxa"/>
            <w:shd w:val="clear" w:color="auto" w:fill="auto"/>
          </w:tcPr>
          <w:p w14:paraId="589AFEEA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D3244B4" w14:textId="77777777" w:rsidR="00630B40" w:rsidRPr="00630B40" w:rsidRDefault="00630B40" w:rsidP="00630B4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630B40">
              <w:rPr>
                <w:sz w:val="22"/>
                <w:szCs w:val="22"/>
              </w:rPr>
              <w:t>usługa</w:t>
            </w:r>
          </w:p>
        </w:tc>
        <w:tc>
          <w:tcPr>
            <w:tcW w:w="8646" w:type="dxa"/>
          </w:tcPr>
          <w:p w14:paraId="5617B947" w14:textId="13D30110" w:rsidR="00630B40" w:rsidRPr="00630B40" w:rsidRDefault="00630B40" w:rsidP="007663DB">
            <w:pPr>
              <w:spacing w:after="160"/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Na boisku wielofunkcyjnym  o nawierzchni poliuretanowej ze względu na zamontowane słupy do gry w piłkę kosz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ykową należy wyznaczyć 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położenie tulei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pod bramki do piłki ręcznej 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względem tych słupów, aby zostały zachowane normy bezpieczeństwa dla użytkowników. Należy wykonać wykopy pod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fundament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o wymiarach 40 cm x 4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0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cm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i głębokości 50 cm. Dno wykopu powinno być wykonane z podbudowy, której zadaniem jest odprowadzanie wody, np. żwir. 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Górna krawędź tulei musi być na równo z poziomem zerowym nawierzchni boiska.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Tuleje w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wykopie 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zalać dookoła betonem min. B15. Tuleje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zabezpieczyć deklem, a zniszczoną nawierzchnię  poliuretanową wypełnić zestawem naprawczym do nawierzchni  poliuretanowych.</w:t>
            </w:r>
            <w:r w:rsidR="007663DB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Na tulejach zamontować bramki.</w:t>
            </w:r>
            <w:r w:rsidRPr="00630B40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60A6D046" w14:textId="77777777" w:rsidR="00F9441F" w:rsidRPr="00897FB3" w:rsidRDefault="00F9441F" w:rsidP="006B503C">
      <w:pPr>
        <w:jc w:val="both"/>
      </w:pPr>
      <w:bookmarkStart w:id="6" w:name="__DdeLink__920_30722452581"/>
      <w:bookmarkEnd w:id="5"/>
      <w:bookmarkEnd w:id="6"/>
    </w:p>
    <w:p w14:paraId="194DE9A5" w14:textId="327D1F56" w:rsidR="003C315B" w:rsidRDefault="00DD735A" w:rsidP="00FE34A3">
      <w:pPr>
        <w:jc w:val="both"/>
        <w:rPr>
          <w:color w:val="auto"/>
        </w:rPr>
      </w:pPr>
      <w:r>
        <w:t xml:space="preserve">Przedmiot zamówienia obejmuje następujący zakres, według Kodów Wspólnego Słownika Zamówień (CPV): </w:t>
      </w:r>
      <w:hyperlink r:id="rId8" w:history="1">
        <w:r w:rsidRPr="00FE34A3">
          <w:rPr>
            <w:rStyle w:val="Hipercze"/>
            <w:color w:val="000000" w:themeColor="text1"/>
            <w:u w:val="none"/>
          </w:rPr>
          <w:t>37451000-4</w:t>
        </w:r>
      </w:hyperlink>
      <w:r w:rsidRPr="00FE34A3">
        <w:rPr>
          <w:color w:val="000000" w:themeColor="text1"/>
        </w:rPr>
        <w:t xml:space="preserve"> Sprzęt do sportów uprawianych na boiskach</w:t>
      </w:r>
      <w:r w:rsidR="003C315B" w:rsidRPr="00FE34A3">
        <w:rPr>
          <w:color w:val="000000" w:themeColor="text1"/>
        </w:rPr>
        <w:t>;</w:t>
      </w:r>
      <w:r w:rsidRPr="00FE34A3">
        <w:rPr>
          <w:color w:val="000000" w:themeColor="text1"/>
        </w:rPr>
        <w:t xml:space="preserve"> </w:t>
      </w:r>
      <w:hyperlink r:id="rId9" w:history="1">
        <w:r w:rsidR="003C315B" w:rsidRPr="003C315B">
          <w:rPr>
            <w:color w:val="000000" w:themeColor="text1"/>
          </w:rPr>
          <w:t>37410000-5</w:t>
        </w:r>
      </w:hyperlink>
      <w:r w:rsidR="003C315B" w:rsidRPr="003C315B">
        <w:rPr>
          <w:color w:val="000000" w:themeColor="text1"/>
        </w:rPr>
        <w:t xml:space="preserve"> </w:t>
      </w:r>
      <w:r w:rsidRPr="00DD735A">
        <w:rPr>
          <w:color w:val="000000" w:themeColor="text1"/>
        </w:rPr>
        <w:t>Sprzęt sportowy do uprawiania sportów na wolnym powietrzu</w:t>
      </w:r>
      <w:r w:rsidR="003C315B" w:rsidRPr="00FE34A3">
        <w:rPr>
          <w:color w:val="000000" w:themeColor="text1"/>
        </w:rPr>
        <w:t>;</w:t>
      </w:r>
      <w:r w:rsidRPr="00DD735A">
        <w:rPr>
          <w:color w:val="000000" w:themeColor="text1"/>
        </w:rPr>
        <w:t xml:space="preserve"> </w:t>
      </w:r>
      <w:hyperlink r:id="rId10" w:history="1">
        <w:r w:rsidR="003C315B" w:rsidRPr="003C315B">
          <w:rPr>
            <w:color w:val="000000" w:themeColor="text1"/>
          </w:rPr>
          <w:t>37400000-2</w:t>
        </w:r>
      </w:hyperlink>
      <w:r w:rsidR="003C315B" w:rsidRPr="003C315B">
        <w:rPr>
          <w:color w:val="auto"/>
        </w:rPr>
        <w:t xml:space="preserve"> Artykuły i sprzęt sportowy</w:t>
      </w:r>
      <w:r w:rsidR="003C315B">
        <w:rPr>
          <w:color w:val="auto"/>
        </w:rPr>
        <w:t>; 45453000-7 Roboty remontowe i renowacyjne.</w:t>
      </w:r>
      <w:r w:rsidR="003C315B" w:rsidRPr="003C315B">
        <w:rPr>
          <w:color w:val="auto"/>
        </w:rPr>
        <w:t xml:space="preserve"> </w:t>
      </w:r>
    </w:p>
    <w:p w14:paraId="6E18E445" w14:textId="0AE990FE" w:rsidR="00617E7B" w:rsidRDefault="00617E7B" w:rsidP="00FE34A3">
      <w:pPr>
        <w:jc w:val="both"/>
        <w:rPr>
          <w:color w:val="auto"/>
        </w:rPr>
      </w:pPr>
      <w:r w:rsidRPr="006F797A">
        <w:rPr>
          <w:b/>
          <w:bCs/>
          <w:color w:val="auto"/>
        </w:rPr>
        <w:t>Zamawiający przewiduje składanie ofert częściowych.</w:t>
      </w:r>
      <w:r>
        <w:rPr>
          <w:color w:val="auto"/>
        </w:rPr>
        <w:t xml:space="preserve"> Nie ogranicza ilości części</w:t>
      </w:r>
      <w:r w:rsidR="00D5576F">
        <w:rPr>
          <w:color w:val="auto"/>
        </w:rPr>
        <w:t>,</w:t>
      </w:r>
      <w:r>
        <w:rPr>
          <w:color w:val="auto"/>
        </w:rPr>
        <w:t xml:space="preserve"> na które Wykonawca może złożyć ofertę. W przypadku złożenia więcej niż jednej oferty na daną część Zamawiający odrzuci wszystkie oferty Wykonawcy złożone dla danej części zamówienia.</w:t>
      </w:r>
    </w:p>
    <w:p w14:paraId="0F010FC7" w14:textId="77777777" w:rsidR="00FE34A3" w:rsidRDefault="00FE34A3" w:rsidP="00FE34A3">
      <w:pPr>
        <w:jc w:val="both"/>
        <w:outlineLvl w:val="0"/>
      </w:pPr>
      <w:r>
        <w:rPr>
          <w:color w:val="auto"/>
        </w:rPr>
        <w:t>Zamawiający zastrzega, że przedmiot dostawy ma być fabrycznie nowy, wolny od wad i kompletny. Artykuły powinny odpowiadać normom europejskim i krajowym. Oznacza to, że powinny posiadać wymagane prawem dopuszczenia do obrotu i stosowania m.in. atesty i certyfikaty</w:t>
      </w:r>
      <w:r>
        <w:t xml:space="preserve"> zgodności, dopuszczające do użytku w kraju oraz na terenie Unii Europejskiej.</w:t>
      </w:r>
    </w:p>
    <w:p w14:paraId="36C6F5D9" w14:textId="77777777" w:rsidR="00FE34A3" w:rsidRPr="00897FB3" w:rsidRDefault="00FE34A3" w:rsidP="00FE34A3">
      <w:pPr>
        <w:contextualSpacing/>
        <w:jc w:val="both"/>
      </w:pPr>
      <w:r>
        <w:t xml:space="preserve">Artykuły należy dostarczyć we własnym zakresie i na własny koszt pod adres: </w:t>
      </w:r>
      <w:r w:rsidRPr="00897FB3">
        <w:t>Szkoła Podstawowa nr 4 im. H. Sienkiewicza</w:t>
      </w:r>
      <w:r>
        <w:t xml:space="preserve"> </w:t>
      </w:r>
      <w:r w:rsidRPr="00897FB3">
        <w:t>ul. Żeromskiego 53</w:t>
      </w:r>
      <w:r>
        <w:t xml:space="preserve">, </w:t>
      </w:r>
      <w:r w:rsidRPr="00897FB3">
        <w:t>97-425 Zelów</w:t>
      </w:r>
      <w:r>
        <w:t>.</w:t>
      </w:r>
    </w:p>
    <w:p w14:paraId="09D25449" w14:textId="77777777" w:rsidR="00FE34A3" w:rsidRPr="00C02403" w:rsidRDefault="00FE34A3" w:rsidP="00FE34A3">
      <w:pPr>
        <w:jc w:val="both"/>
        <w:outlineLvl w:val="0"/>
        <w:rPr>
          <w:color w:val="auto"/>
        </w:rPr>
      </w:pPr>
      <w:r>
        <w:rPr>
          <w:color w:val="auto"/>
        </w:rPr>
        <w:t>Wykonawca jest odpowiedzialny za całokształt zamówienia, w tym za jego przebieg oraz terminowe wykonanie, jakość, zgodność z warunkami technicznymi, jakościowymi i obowiązującymi w tym zakresie przepisami.</w:t>
      </w:r>
    </w:p>
    <w:p w14:paraId="64F82ED0" w14:textId="5A3B4986" w:rsidR="00FE34A3" w:rsidRPr="00897FB3" w:rsidRDefault="00FE34A3" w:rsidP="00FE34A3">
      <w:pPr>
        <w:jc w:val="both"/>
      </w:pPr>
      <w:r w:rsidRPr="00897FB3">
        <w:t xml:space="preserve">Wykonawca udzieli 24 miesięcznej gwarancji na wykonane </w:t>
      </w:r>
      <w:r w:rsidR="00617E7B">
        <w:t>usługi</w:t>
      </w:r>
      <w:r>
        <w:t xml:space="preserve">, </w:t>
      </w:r>
      <w:r w:rsidRPr="00897FB3">
        <w:t>licząc od dnia odbioru całej inwestycji i przekazania użytkownikowi, oraz usunie wszystkie</w:t>
      </w:r>
      <w:r>
        <w:t xml:space="preserve"> </w:t>
      </w:r>
      <w:r w:rsidRPr="00897FB3">
        <w:t>usterki wynikłe w okresie gwarancji w terminie maksymalnie 14 dni od dnia zgłoszenia usterki przez</w:t>
      </w:r>
      <w:r>
        <w:t xml:space="preserve"> </w:t>
      </w:r>
      <w:r w:rsidRPr="00897FB3">
        <w:t>Zamawiającego.</w:t>
      </w:r>
    </w:p>
    <w:p w14:paraId="2028C78B" w14:textId="29976691" w:rsidR="00FE34A3" w:rsidRPr="00647FCF" w:rsidRDefault="00FE34A3" w:rsidP="00FE34A3">
      <w:pPr>
        <w:jc w:val="both"/>
        <w:rPr>
          <w:b/>
          <w:bCs/>
        </w:rPr>
      </w:pPr>
      <w:r w:rsidRPr="00647FCF">
        <w:rPr>
          <w:b/>
          <w:bCs/>
        </w:rPr>
        <w:t>Termin realizacji zamówienia</w:t>
      </w:r>
      <w:r>
        <w:rPr>
          <w:b/>
          <w:bCs/>
        </w:rPr>
        <w:t>:</w:t>
      </w:r>
      <w:r w:rsidRPr="00647FCF">
        <w:rPr>
          <w:b/>
          <w:bCs/>
        </w:rPr>
        <w:t xml:space="preserve"> o</w:t>
      </w:r>
      <w:r w:rsidR="00BC2235">
        <w:rPr>
          <w:b/>
          <w:bCs/>
        </w:rPr>
        <w:t>d dnia zawarcia umowy do dnia 31.08</w:t>
      </w:r>
      <w:r w:rsidRPr="00647FCF">
        <w:rPr>
          <w:b/>
          <w:bCs/>
        </w:rPr>
        <w:t>.2023 r.</w:t>
      </w:r>
    </w:p>
    <w:p w14:paraId="4CCDD213" w14:textId="577BDB23" w:rsidR="00FE34A3" w:rsidRPr="003C315B" w:rsidRDefault="00FE34A3" w:rsidP="00FE34A3">
      <w:pPr>
        <w:jc w:val="both"/>
        <w:rPr>
          <w:color w:val="auto"/>
        </w:rPr>
      </w:pPr>
      <w:r>
        <w:t>Do niniejszego zamówienia nie stosuje się przepisów ustawy z dnia 11.09.2019 r. Prawo zamówień publicznych (Dz. U. z 2022 r. poz. 1710 ze zm.) w oparciu o art. 2 ust. 1 pkt 1 tej ustawy. Zamówienie prowadzone jest w trybie zasady konkurencyjności i przejrzystości.</w:t>
      </w:r>
    </w:p>
    <w:p w14:paraId="5DC56D09" w14:textId="5810F3E7" w:rsidR="00C20D6F" w:rsidRPr="00C20D6F" w:rsidRDefault="00C20D6F" w:rsidP="00C20D6F">
      <w:pPr>
        <w:jc w:val="both"/>
        <w:rPr>
          <w:color w:val="auto"/>
        </w:rPr>
      </w:pPr>
      <w:r w:rsidRPr="00C20D6F">
        <w:rPr>
          <w:color w:val="auto"/>
        </w:rPr>
        <w:lastRenderedPageBreak/>
        <w:t>II. WARUNKI UDZIAŁU W POSTĘPOWANIU</w:t>
      </w:r>
    </w:p>
    <w:p w14:paraId="79F4D266" w14:textId="21772968" w:rsidR="00C20D6F" w:rsidRPr="00C20D6F" w:rsidRDefault="00C20D6F" w:rsidP="00C20D6F">
      <w:pPr>
        <w:jc w:val="both"/>
        <w:rPr>
          <w:color w:val="auto"/>
        </w:rPr>
      </w:pPr>
      <w:r w:rsidRPr="00C20D6F">
        <w:rPr>
          <w:color w:val="auto"/>
        </w:rPr>
        <w:t xml:space="preserve">Ofertę może </w:t>
      </w:r>
      <w:r w:rsidR="00D5576F">
        <w:rPr>
          <w:color w:val="auto"/>
        </w:rPr>
        <w:t>złożyć W</w:t>
      </w:r>
      <w:r w:rsidRPr="00C20D6F">
        <w:rPr>
          <w:color w:val="auto"/>
        </w:rPr>
        <w:t>ykonawca, który:</w:t>
      </w:r>
    </w:p>
    <w:p w14:paraId="403894FB" w14:textId="77777777" w:rsidR="00C20D6F" w:rsidRPr="00C20D6F" w:rsidRDefault="00C20D6F" w:rsidP="00C20D6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C20D6F">
        <w:rPr>
          <w:color w:val="auto"/>
        </w:rPr>
        <w:t>Dysponuje niezbędną wiedzą i doświadczeniem, do wykonania zamówienia.</w:t>
      </w:r>
    </w:p>
    <w:p w14:paraId="55B839D3" w14:textId="77777777" w:rsidR="00C20D6F" w:rsidRPr="00C20D6F" w:rsidRDefault="00C20D6F" w:rsidP="00C20D6F">
      <w:pPr>
        <w:ind w:left="360"/>
        <w:jc w:val="both"/>
      </w:pPr>
      <w:r w:rsidRPr="00C20D6F">
        <w:rPr>
          <w:color w:val="auto"/>
        </w:rPr>
        <w:t>2. Dysponuje niezbędnym sprzętem do wykonania zadania.</w:t>
      </w:r>
    </w:p>
    <w:p w14:paraId="178F28EC" w14:textId="77777777" w:rsidR="00C20D6F" w:rsidRPr="00C20D6F" w:rsidRDefault="00C20D6F" w:rsidP="00C20D6F">
      <w:pPr>
        <w:jc w:val="both"/>
      </w:pPr>
      <w:r w:rsidRPr="00C20D6F">
        <w:rPr>
          <w:color w:val="auto"/>
        </w:rPr>
        <w:t xml:space="preserve">      3. Wykona przedmiot zamówienia w terminie.</w:t>
      </w:r>
    </w:p>
    <w:p w14:paraId="6A21B455" w14:textId="77777777" w:rsidR="00C20D6F" w:rsidRPr="00C20D6F" w:rsidRDefault="00C20D6F" w:rsidP="00C20D6F">
      <w:pPr>
        <w:jc w:val="both"/>
      </w:pPr>
      <w:r w:rsidRPr="00C20D6F">
        <w:rPr>
          <w:color w:val="auto"/>
        </w:rPr>
        <w:t xml:space="preserve">      4. Rozliczy się z Zamawiającym na podstawie faktury VAT i protokołu zdawczo-odbiorczego. </w:t>
      </w:r>
    </w:p>
    <w:p w14:paraId="2A100F7A" w14:textId="77777777" w:rsidR="00C20D6F" w:rsidRPr="00C20D6F" w:rsidRDefault="00C20D6F" w:rsidP="00C20D6F">
      <w:pPr>
        <w:jc w:val="both"/>
        <w:rPr>
          <w:color w:val="auto"/>
        </w:rPr>
      </w:pPr>
      <w:r w:rsidRPr="00C20D6F">
        <w:rPr>
          <w:color w:val="auto"/>
        </w:rPr>
        <w:t xml:space="preserve">      5. Przyjmie zlecenie przedmiotowego zadania w formie pisemnej umowy między Zamawiającym,  a Wykonawcą na warunkach określonych w umowie stanowiącej załącznik nr 4 do niniejszego zapytania.</w:t>
      </w:r>
    </w:p>
    <w:p w14:paraId="452E72B1" w14:textId="77777777" w:rsidR="00C20D6F" w:rsidRPr="00C20D6F" w:rsidRDefault="00C20D6F" w:rsidP="00C20D6F">
      <w:pPr>
        <w:jc w:val="both"/>
      </w:pPr>
    </w:p>
    <w:p w14:paraId="21F2D30F" w14:textId="77777777" w:rsidR="00C20D6F" w:rsidRPr="00C20D6F" w:rsidRDefault="00C20D6F" w:rsidP="00C20D6F">
      <w:pPr>
        <w:numPr>
          <w:ilvl w:val="0"/>
          <w:numId w:val="3"/>
        </w:numPr>
        <w:contextualSpacing/>
        <w:jc w:val="both"/>
      </w:pPr>
      <w:r w:rsidRPr="00C20D6F">
        <w:t>OPIS SPOSOBU PRZYGOTOWANIA OFERTY</w:t>
      </w:r>
    </w:p>
    <w:p w14:paraId="7B97A95B" w14:textId="54DF30D1" w:rsidR="00C20D6F" w:rsidRPr="00C20D6F" w:rsidRDefault="00FB3BA9" w:rsidP="00C20D6F">
      <w:pPr>
        <w:jc w:val="both"/>
      </w:pPr>
      <w:r>
        <w:rPr>
          <w:color w:val="auto"/>
        </w:rPr>
        <w:t>Wykon</w:t>
      </w:r>
      <w:r w:rsidR="000636C5">
        <w:rPr>
          <w:color w:val="auto"/>
        </w:rPr>
        <w:t>a</w:t>
      </w:r>
      <w:r>
        <w:rPr>
          <w:color w:val="auto"/>
        </w:rPr>
        <w:t>wca</w:t>
      </w:r>
      <w:r w:rsidR="00C20D6F" w:rsidRPr="00C20D6F">
        <w:rPr>
          <w:color w:val="auto"/>
        </w:rPr>
        <w:t xml:space="preserve"> powinien sporządzić ofertę na formularzu załączonym do niniejszego zapytania (załącznik nr 2). </w:t>
      </w:r>
      <w:r w:rsidR="00C20D6F" w:rsidRPr="00C20D6F">
        <w:t>Oferta powinna być:</w:t>
      </w:r>
    </w:p>
    <w:p w14:paraId="04491022" w14:textId="77777777" w:rsidR="00C20D6F" w:rsidRPr="00C20D6F" w:rsidRDefault="00C20D6F" w:rsidP="00C20D6F">
      <w:pPr>
        <w:numPr>
          <w:ilvl w:val="0"/>
          <w:numId w:val="4"/>
        </w:numPr>
        <w:contextualSpacing/>
        <w:jc w:val="both"/>
      </w:pPr>
      <w:r w:rsidRPr="00C20D6F">
        <w:t>opatrzona pieczątką firmową,</w:t>
      </w:r>
    </w:p>
    <w:p w14:paraId="01FC9670" w14:textId="77777777" w:rsidR="00C20D6F" w:rsidRPr="00C20D6F" w:rsidRDefault="00C20D6F" w:rsidP="00C20D6F">
      <w:pPr>
        <w:numPr>
          <w:ilvl w:val="0"/>
          <w:numId w:val="4"/>
        </w:numPr>
        <w:contextualSpacing/>
        <w:jc w:val="both"/>
      </w:pPr>
      <w:r w:rsidRPr="00C20D6F">
        <w:t>posiadać datę sporządzenia,</w:t>
      </w:r>
    </w:p>
    <w:p w14:paraId="5223EF00" w14:textId="4775F644" w:rsidR="00C20D6F" w:rsidRPr="00C20D6F" w:rsidRDefault="00C20D6F" w:rsidP="00C20D6F">
      <w:pPr>
        <w:numPr>
          <w:ilvl w:val="0"/>
          <w:numId w:val="4"/>
        </w:numPr>
        <w:contextualSpacing/>
        <w:jc w:val="both"/>
      </w:pPr>
      <w:r w:rsidRPr="00C20D6F">
        <w:t xml:space="preserve">zawierać adres </w:t>
      </w:r>
      <w:r w:rsidR="00FB3BA9">
        <w:t>Wykonawcy</w:t>
      </w:r>
      <w:r w:rsidRPr="00C20D6F">
        <w:t>, numer telefonu, numer NIP,</w:t>
      </w:r>
    </w:p>
    <w:p w14:paraId="4794A234" w14:textId="77777777" w:rsidR="00C20D6F" w:rsidRPr="00C20D6F" w:rsidRDefault="00C20D6F" w:rsidP="00C20D6F">
      <w:pPr>
        <w:numPr>
          <w:ilvl w:val="0"/>
          <w:numId w:val="4"/>
        </w:numPr>
        <w:contextualSpacing/>
        <w:jc w:val="both"/>
      </w:pPr>
      <w:r w:rsidRPr="00C20D6F">
        <w:t>być sporządzona w formie pisemnej w języku polskim,</w:t>
      </w:r>
    </w:p>
    <w:p w14:paraId="2C1F6F25" w14:textId="56C75F09" w:rsidR="00C20D6F" w:rsidRPr="00C20D6F" w:rsidRDefault="00FB3BA9" w:rsidP="00C20D6F">
      <w:pPr>
        <w:numPr>
          <w:ilvl w:val="0"/>
          <w:numId w:val="4"/>
        </w:numPr>
        <w:contextualSpacing/>
        <w:jc w:val="both"/>
      </w:pPr>
      <w:r>
        <w:t>podpisana czytelnie przez W</w:t>
      </w:r>
      <w:r w:rsidR="00C20D6F" w:rsidRPr="00C20D6F">
        <w:t>ykonawcę,</w:t>
      </w:r>
    </w:p>
    <w:p w14:paraId="4CF7B881" w14:textId="77777777" w:rsidR="00C20D6F" w:rsidRPr="00C20D6F" w:rsidRDefault="00C20D6F" w:rsidP="00C20D6F">
      <w:pPr>
        <w:numPr>
          <w:ilvl w:val="0"/>
          <w:numId w:val="4"/>
        </w:numPr>
        <w:contextualSpacing/>
        <w:jc w:val="both"/>
      </w:pPr>
      <w:r w:rsidRPr="00C20D6F">
        <w:t xml:space="preserve">zawierać wszystkie wymagane załączniki. </w:t>
      </w:r>
    </w:p>
    <w:p w14:paraId="57ECA313" w14:textId="77777777" w:rsidR="00C20D6F" w:rsidRPr="00C20D6F" w:rsidRDefault="00C20D6F" w:rsidP="00C20D6F">
      <w:pPr>
        <w:jc w:val="both"/>
      </w:pPr>
      <w:r w:rsidRPr="00C20D6F">
        <w:t xml:space="preserve">Wszelkie oświadczenia i dokumenty powinny być podpisane przez osobę uprawnioną do reprezentowania firmy lub upoważnionego przez nią przedstawiciela. Dokumenty w formie kserokopii powinny być poświadczone na każdej zapisanej stronie „za zgodność </w:t>
      </w:r>
      <w:r w:rsidRPr="00C20D6F">
        <w:br/>
        <w:t>z oryginałem” i opatrzone imienną pieczątką i podpisem osoby uprawnionej lub upoważnionej do reprezentowania firmy na zewnątrz. W przypadku przedstawienia kopii nieczytelnej lub budzącej wątpliwości, co do jej prawdziwości Zamawiający zażąda przedstawienia oryginału lub notarialnego potwierdzenia.</w:t>
      </w:r>
    </w:p>
    <w:p w14:paraId="2C39059E" w14:textId="5718E931" w:rsidR="00C20D6F" w:rsidRPr="00C20D6F" w:rsidRDefault="00FB3BA9" w:rsidP="00C20D6F">
      <w:pPr>
        <w:jc w:val="both"/>
      </w:pPr>
      <w:r>
        <w:t>W przypadku, gdy W</w:t>
      </w:r>
      <w:r w:rsidR="00C20D6F" w:rsidRPr="00C20D6F">
        <w:t xml:space="preserve">ykonawcę reprezentuje pełnomocnik, do oferty musi być dołączone pełnomocnictwo określające zakres umocowania </w:t>
      </w:r>
      <w:r w:rsidR="00C20D6F" w:rsidRPr="00C20D6F">
        <w:br/>
        <w:t>i podpisane przez osoby reprezentujące osobę prawną lub fizyczną.</w:t>
      </w:r>
    </w:p>
    <w:p w14:paraId="6C293861" w14:textId="77777777" w:rsidR="00C20D6F" w:rsidRPr="00C20D6F" w:rsidRDefault="00C20D6F" w:rsidP="00C20D6F">
      <w:pPr>
        <w:jc w:val="both"/>
      </w:pPr>
      <w:r w:rsidRPr="00C20D6F">
        <w:t>Zamawiający nie dopuszcza możliwości składania ofert wariantowych przewidujących odmienny niż opisany w niniejszym zapytaniu sposób wykonania zamówienia.</w:t>
      </w:r>
    </w:p>
    <w:p w14:paraId="0464C7BF" w14:textId="77777777" w:rsidR="00C20D6F" w:rsidRPr="00C20D6F" w:rsidRDefault="00C20D6F" w:rsidP="00C20D6F">
      <w:pPr>
        <w:jc w:val="both"/>
      </w:pPr>
    </w:p>
    <w:p w14:paraId="294F8A15" w14:textId="77777777" w:rsidR="00C20D6F" w:rsidRPr="00C20D6F" w:rsidRDefault="00C20D6F" w:rsidP="00C20D6F">
      <w:pPr>
        <w:jc w:val="both"/>
      </w:pPr>
      <w:r w:rsidRPr="00C20D6F">
        <w:t>IV. MIEJSCE ORAZ TERMIN SKŁADANIA OFERT</w:t>
      </w:r>
    </w:p>
    <w:p w14:paraId="6B711B19" w14:textId="4DE34FD9" w:rsidR="00C20D6F" w:rsidRPr="00C20D6F" w:rsidRDefault="00C20D6F" w:rsidP="00C20D6F">
      <w:pPr>
        <w:jc w:val="both"/>
      </w:pPr>
      <w:r w:rsidRPr="00C20D6F">
        <w:t xml:space="preserve">Oferta powinna być przesłana w formie pisemnej za pośrednictwem poczty tradycyjnej lub kuriera, bądź dostarczona osobiście na adres: Szkoła Podstawowa nr 4 ul. Żeromskiego 53, 97-425 Zelów (sekretariat), bądź za pośrednictwem poczty elektronicznej w postaci podpisanego skanu na </w:t>
      </w:r>
      <w:r w:rsidRPr="00BC2235">
        <w:rPr>
          <w:color w:val="auto"/>
        </w:rPr>
        <w:t xml:space="preserve">adres: </w:t>
      </w:r>
      <w:hyperlink r:id="rId11" w:history="1">
        <w:r w:rsidRPr="00BC2235">
          <w:rPr>
            <w:color w:val="auto"/>
            <w:u w:val="single"/>
          </w:rPr>
          <w:t>sp4zelow@interia.pl</w:t>
        </w:r>
      </w:hyperlink>
      <w:r w:rsidRPr="00BC2235">
        <w:rPr>
          <w:color w:val="auto"/>
        </w:rPr>
        <w:t xml:space="preserve"> </w:t>
      </w:r>
      <w:r w:rsidRPr="00BC2235">
        <w:rPr>
          <w:bCs/>
          <w:color w:val="auto"/>
        </w:rPr>
        <w:t xml:space="preserve">do dnia </w:t>
      </w:r>
      <w:r w:rsidR="00BC2235" w:rsidRPr="00BC2235">
        <w:rPr>
          <w:bCs/>
          <w:color w:val="auto"/>
        </w:rPr>
        <w:t>16.05.</w:t>
      </w:r>
      <w:r w:rsidRPr="00BC2235">
        <w:rPr>
          <w:bCs/>
          <w:color w:val="auto"/>
        </w:rPr>
        <w:t>2023 r.</w:t>
      </w:r>
      <w:r w:rsidR="00BC2235" w:rsidRPr="00BC2235">
        <w:rPr>
          <w:bCs/>
          <w:color w:val="auto"/>
        </w:rPr>
        <w:t xml:space="preserve"> do godz. 11</w:t>
      </w:r>
      <w:r w:rsidRPr="00BC2235">
        <w:rPr>
          <w:bCs/>
          <w:color w:val="auto"/>
        </w:rPr>
        <w:t>:00</w:t>
      </w:r>
      <w:r w:rsidRPr="00BC2235">
        <w:rPr>
          <w:color w:val="auto"/>
        </w:rPr>
        <w:t xml:space="preserve"> (decyduje </w:t>
      </w:r>
      <w:r w:rsidRPr="00BC2235">
        <w:t>data</w:t>
      </w:r>
      <w:r w:rsidRPr="00C20D6F">
        <w:t xml:space="preserve"> wpływu oferty). Oferty złożone po terminie lub bez obowiązujących załączników lub podpisane  przez osoby, które nie są do tego upoważnione nie będą rozpatrywane. </w:t>
      </w:r>
      <w:r w:rsidR="00FB3BA9">
        <w:t>Wykonawca</w:t>
      </w:r>
      <w:r w:rsidRPr="00C20D6F">
        <w:t xml:space="preserve"> może przed upływem terminu składania ofert zmienić lub wycofać swoją ofertę. W toku badania i oceny ofert Zamawiający może żądać od </w:t>
      </w:r>
      <w:r w:rsidR="00FB3BA9">
        <w:t>Wykonawców</w:t>
      </w:r>
      <w:r w:rsidRPr="00C20D6F">
        <w:t xml:space="preserve"> wyjaśnień dotyczących treści złożonych ofert. Wykonawca pokrywa wszystkie koszty związane z przygotowaniem i dostarczeniem oferty.</w:t>
      </w:r>
    </w:p>
    <w:p w14:paraId="6D297542" w14:textId="77777777" w:rsidR="00C20D6F" w:rsidRPr="00C20D6F" w:rsidRDefault="00C20D6F" w:rsidP="00C20D6F">
      <w:pPr>
        <w:jc w:val="both"/>
      </w:pPr>
    </w:p>
    <w:p w14:paraId="6A844375" w14:textId="77777777" w:rsidR="00C20D6F" w:rsidRPr="00C20D6F" w:rsidRDefault="00C20D6F" w:rsidP="00C20D6F">
      <w:pPr>
        <w:numPr>
          <w:ilvl w:val="0"/>
          <w:numId w:val="5"/>
        </w:numPr>
        <w:contextualSpacing/>
        <w:jc w:val="both"/>
      </w:pPr>
      <w:r w:rsidRPr="00C20D6F">
        <w:lastRenderedPageBreak/>
        <w:t>OCENA OFERTY</w:t>
      </w:r>
    </w:p>
    <w:p w14:paraId="6F1CE1A7" w14:textId="0505E672" w:rsidR="00C20D6F" w:rsidRPr="00C20D6F" w:rsidRDefault="00C20D6F" w:rsidP="00C20D6F">
      <w:pPr>
        <w:jc w:val="both"/>
      </w:pPr>
      <w:r w:rsidRPr="00C20D6F">
        <w:t>Zamawiający dokona oceny ważnych ofert na podstawie następujących kryteriów</w:t>
      </w:r>
      <w:r w:rsidR="006F797A">
        <w:t xml:space="preserve"> (dotyczy każdej z części)</w:t>
      </w:r>
      <w:r w:rsidRPr="00C20D6F">
        <w:t>:</w:t>
      </w:r>
    </w:p>
    <w:p w14:paraId="4209B110" w14:textId="77777777" w:rsidR="00C20D6F" w:rsidRPr="00C20D6F" w:rsidRDefault="00C20D6F" w:rsidP="00C20D6F">
      <w:pPr>
        <w:ind w:left="780"/>
        <w:contextualSpacing/>
        <w:jc w:val="both"/>
        <w:rPr>
          <w:b/>
          <w:bCs/>
        </w:rPr>
      </w:pPr>
      <w:r w:rsidRPr="00C20D6F">
        <w:rPr>
          <w:b/>
          <w:bCs/>
        </w:rPr>
        <w:t>Cena przedmiotu zamówienia 100 % - 100 pkt</w:t>
      </w:r>
    </w:p>
    <w:p w14:paraId="08DA9426" w14:textId="77777777" w:rsidR="00C20D6F" w:rsidRPr="00C20D6F" w:rsidRDefault="00C20D6F" w:rsidP="00C20D6F">
      <w:pPr>
        <w:jc w:val="both"/>
      </w:pPr>
      <w:r w:rsidRPr="00C20D6F">
        <w:t>Cena przedmiotu zamówienia – obejmuje cenę wykonania usługi. Oferta z najniższą ceną otrzyma maksymalną ilość punktów = 100 pkt. Oferty następne będą oceniane na zasadzie proporcji w stosunku do oferty najtańszej wg wzoru:</w:t>
      </w:r>
    </w:p>
    <w:p w14:paraId="44722768" w14:textId="77777777" w:rsidR="00C20D6F" w:rsidRPr="00C20D6F" w:rsidRDefault="00C20D6F" w:rsidP="00C20D6F">
      <w:pPr>
        <w:jc w:val="both"/>
        <w:rPr>
          <w:b/>
          <w:bCs/>
        </w:rPr>
      </w:pPr>
      <w:r w:rsidRPr="00C20D6F">
        <w:rPr>
          <w:b/>
          <w:bCs/>
        </w:rPr>
        <w:t xml:space="preserve">C = [C </w:t>
      </w:r>
      <w:r w:rsidRPr="00C20D6F">
        <w:rPr>
          <w:b/>
          <w:bCs/>
          <w:vertAlign w:val="subscript"/>
        </w:rPr>
        <w:t>min</w:t>
      </w:r>
      <w:r w:rsidRPr="00C20D6F">
        <w:rPr>
          <w:b/>
          <w:bCs/>
        </w:rPr>
        <w:t xml:space="preserve">/ C </w:t>
      </w:r>
      <w:r w:rsidRPr="00C20D6F">
        <w:rPr>
          <w:b/>
          <w:bCs/>
          <w:vertAlign w:val="subscript"/>
        </w:rPr>
        <w:t>bad</w:t>
      </w:r>
      <w:r w:rsidRPr="00C20D6F">
        <w:rPr>
          <w:b/>
          <w:bCs/>
        </w:rPr>
        <w:t>] x 100</w:t>
      </w:r>
    </w:p>
    <w:p w14:paraId="6A5EA40F" w14:textId="77777777" w:rsidR="00C20D6F" w:rsidRPr="00C20D6F" w:rsidRDefault="00C20D6F" w:rsidP="00C20D6F">
      <w:pPr>
        <w:jc w:val="both"/>
      </w:pPr>
      <w:r w:rsidRPr="00C20D6F">
        <w:t>gdzie:</w:t>
      </w:r>
    </w:p>
    <w:p w14:paraId="4BC8C723" w14:textId="77777777" w:rsidR="00C20D6F" w:rsidRPr="00C20D6F" w:rsidRDefault="00C20D6F" w:rsidP="00C20D6F">
      <w:pPr>
        <w:jc w:val="both"/>
      </w:pPr>
      <w:r w:rsidRPr="00C20D6F">
        <w:t>C – liczba punktów za cenę ofertową</w:t>
      </w:r>
    </w:p>
    <w:p w14:paraId="708C74EF" w14:textId="77777777" w:rsidR="00C20D6F" w:rsidRPr="00C20D6F" w:rsidRDefault="00C20D6F" w:rsidP="00C20D6F">
      <w:pPr>
        <w:jc w:val="both"/>
      </w:pPr>
      <w:r w:rsidRPr="00C20D6F">
        <w:t xml:space="preserve">C </w:t>
      </w:r>
      <w:r w:rsidRPr="00C20D6F">
        <w:rPr>
          <w:vertAlign w:val="subscript"/>
        </w:rPr>
        <w:t xml:space="preserve">min </w:t>
      </w:r>
      <w:r w:rsidRPr="00C20D6F">
        <w:t>– najniższa cena ofertowa spośród ofert badanych</w:t>
      </w:r>
    </w:p>
    <w:p w14:paraId="576EF241" w14:textId="77777777" w:rsidR="00C20D6F" w:rsidRPr="00C20D6F" w:rsidRDefault="00C20D6F" w:rsidP="00C20D6F">
      <w:pPr>
        <w:jc w:val="both"/>
      </w:pPr>
      <w:r w:rsidRPr="00C20D6F">
        <w:t xml:space="preserve">C </w:t>
      </w:r>
      <w:r w:rsidRPr="00C20D6F">
        <w:rPr>
          <w:vertAlign w:val="subscript"/>
        </w:rPr>
        <w:t xml:space="preserve">bad </w:t>
      </w:r>
      <w:r w:rsidRPr="00C20D6F">
        <w:t>– cena oferty badanej</w:t>
      </w:r>
    </w:p>
    <w:p w14:paraId="56508426" w14:textId="77777777" w:rsidR="00C20D6F" w:rsidRPr="00C20D6F" w:rsidRDefault="00C20D6F" w:rsidP="00C20D6F">
      <w:pPr>
        <w:jc w:val="both"/>
      </w:pPr>
      <w:r w:rsidRPr="00C20D6F">
        <w:t>Cena podana w ofercie powinna być ceną kompletną, jednoznaczną i ostateczną oraz powinna obejmować łączną wycenę wszystkich elementów przedmiotu zamówienia.</w:t>
      </w:r>
    </w:p>
    <w:p w14:paraId="69EA8C28" w14:textId="77777777" w:rsidR="00C20D6F" w:rsidRPr="00C20D6F" w:rsidRDefault="00C20D6F" w:rsidP="00C20D6F">
      <w:pPr>
        <w:jc w:val="both"/>
      </w:pPr>
      <w:r w:rsidRPr="00C20D6F">
        <w:t>Cenę należy podać w polskich złotych do dwóch miejsc po przecinku.</w:t>
      </w:r>
    </w:p>
    <w:p w14:paraId="660FB904" w14:textId="77777777" w:rsidR="00C20D6F" w:rsidRPr="00C20D6F" w:rsidRDefault="00C20D6F" w:rsidP="00C20D6F">
      <w:pPr>
        <w:jc w:val="both"/>
      </w:pPr>
    </w:p>
    <w:p w14:paraId="0439AA2B" w14:textId="77777777" w:rsidR="00C20D6F" w:rsidRPr="00C20D6F" w:rsidRDefault="00C20D6F" w:rsidP="00C20D6F">
      <w:pPr>
        <w:numPr>
          <w:ilvl w:val="0"/>
          <w:numId w:val="5"/>
        </w:numPr>
        <w:contextualSpacing/>
        <w:jc w:val="both"/>
      </w:pPr>
      <w:r w:rsidRPr="00C20D6F">
        <w:t>INFORMACJE DOTYCZĄCE WYBORU NAJKORZYSTNIEJSZEJ OFERTY</w:t>
      </w:r>
    </w:p>
    <w:p w14:paraId="3341F3B0" w14:textId="3AAB71CA" w:rsidR="00C20D6F" w:rsidRPr="00C20D6F" w:rsidRDefault="00C20D6F" w:rsidP="00C20D6F">
      <w:pPr>
        <w:jc w:val="both"/>
      </w:pPr>
      <w:r w:rsidRPr="00C20D6F">
        <w:t xml:space="preserve">O wyborze najkorzystniejszej oferty Zamawiający zawiadomi </w:t>
      </w:r>
      <w:r w:rsidR="00B34F40">
        <w:t>Wykonawców</w:t>
      </w:r>
      <w:r w:rsidRPr="00C20D6F">
        <w:t xml:space="preserve"> pisemnie lub pocztą elektroniczną.</w:t>
      </w:r>
    </w:p>
    <w:p w14:paraId="042E6608" w14:textId="77777777" w:rsidR="00C20D6F" w:rsidRPr="00C20D6F" w:rsidRDefault="00C20D6F" w:rsidP="00C20D6F">
      <w:pPr>
        <w:ind w:left="780"/>
        <w:contextualSpacing/>
        <w:jc w:val="both"/>
      </w:pPr>
    </w:p>
    <w:p w14:paraId="030CF223" w14:textId="77777777" w:rsidR="00C20D6F" w:rsidRPr="00C20D6F" w:rsidRDefault="00C20D6F" w:rsidP="00C20D6F">
      <w:pPr>
        <w:jc w:val="both"/>
      </w:pPr>
      <w:r w:rsidRPr="00C20D6F">
        <w:t>VII. DODATKOWE INFORMACJE</w:t>
      </w:r>
    </w:p>
    <w:p w14:paraId="5E3934FD" w14:textId="77777777" w:rsidR="00B34F40" w:rsidRDefault="00C20D6F" w:rsidP="00C20D6F">
      <w:pPr>
        <w:jc w:val="both"/>
      </w:pPr>
      <w:r w:rsidRPr="00C20D6F">
        <w:t xml:space="preserve">Dodatkowych informacji odnośnie niniejszego zapytania w imieniu Zamawiającego udzieli Pani Gabriela Malinowska pod numerem telefonu </w:t>
      </w:r>
    </w:p>
    <w:p w14:paraId="22B1E928" w14:textId="53B2A93F" w:rsidR="00C20D6F" w:rsidRPr="00C20D6F" w:rsidRDefault="00C20D6F" w:rsidP="00C20D6F">
      <w:pPr>
        <w:jc w:val="both"/>
      </w:pPr>
      <w:r w:rsidRPr="00C20D6F">
        <w:t xml:space="preserve">44 6341132 lub mailem na adres: </w:t>
      </w:r>
      <w:hyperlink r:id="rId12" w:history="1">
        <w:r w:rsidRPr="00C20D6F">
          <w:rPr>
            <w:color w:val="0563C1" w:themeColor="hyperlink"/>
            <w:u w:val="single"/>
          </w:rPr>
          <w:t>sp4zelow@interia.pl</w:t>
        </w:r>
      </w:hyperlink>
      <w:r w:rsidRPr="00C20D6F">
        <w:t>.</w:t>
      </w:r>
    </w:p>
    <w:p w14:paraId="1E4A5F1B" w14:textId="77777777" w:rsidR="00C20D6F" w:rsidRPr="00C20D6F" w:rsidRDefault="00C20D6F" w:rsidP="00C20D6F">
      <w:pPr>
        <w:jc w:val="both"/>
        <w:rPr>
          <w:bCs/>
        </w:rPr>
      </w:pPr>
      <w:r w:rsidRPr="00C20D6F">
        <w:rPr>
          <w:bCs/>
        </w:rPr>
        <w:t>Zamawiający zastrzega sobie prawo do unieważnienia postępowania bez podania przyczyn.</w:t>
      </w:r>
    </w:p>
    <w:p w14:paraId="262F4270" w14:textId="77777777" w:rsidR="00C20D6F" w:rsidRPr="00C20D6F" w:rsidRDefault="00C20D6F" w:rsidP="00C20D6F">
      <w:pPr>
        <w:jc w:val="both"/>
        <w:rPr>
          <w:bCs/>
        </w:rPr>
      </w:pPr>
      <w:r w:rsidRPr="00C20D6F">
        <w:rPr>
          <w:bCs/>
        </w:rPr>
        <w:t>Zamawiający zastrzega sobie prawo do:</w:t>
      </w:r>
    </w:p>
    <w:p w14:paraId="7E147BEE" w14:textId="77777777" w:rsidR="00C20D6F" w:rsidRPr="00C20D6F" w:rsidRDefault="00C20D6F" w:rsidP="00C20D6F">
      <w:pPr>
        <w:jc w:val="both"/>
        <w:rPr>
          <w:bCs/>
        </w:rPr>
      </w:pPr>
      <w:r w:rsidRPr="00C20D6F">
        <w:rPr>
          <w:bCs/>
        </w:rPr>
        <w:t>- poprawy omyłek rachunkowych,</w:t>
      </w:r>
    </w:p>
    <w:p w14:paraId="72E350F8" w14:textId="77777777" w:rsidR="00C20D6F" w:rsidRPr="00C20D6F" w:rsidRDefault="00C20D6F" w:rsidP="00C20D6F">
      <w:pPr>
        <w:jc w:val="both"/>
        <w:rPr>
          <w:bCs/>
        </w:rPr>
      </w:pPr>
      <w:r w:rsidRPr="00C20D6F">
        <w:rPr>
          <w:bCs/>
        </w:rPr>
        <w:t>- żądania wyjaśniań w stosunku do Wykonawców, co do treści złożonych ofert.</w:t>
      </w:r>
    </w:p>
    <w:p w14:paraId="15A62F82" w14:textId="77777777" w:rsidR="00C20D6F" w:rsidRPr="00C20D6F" w:rsidRDefault="00C20D6F" w:rsidP="00C20D6F">
      <w:pPr>
        <w:jc w:val="both"/>
      </w:pPr>
      <w:r w:rsidRPr="00C20D6F">
        <w:rPr>
          <w:bCs/>
        </w:rPr>
        <w:t>Zamawiający nie przewiduje uzupełniania kalkulacji cenowej.</w:t>
      </w:r>
    </w:p>
    <w:p w14:paraId="237959FB" w14:textId="77777777" w:rsidR="00C20D6F" w:rsidRPr="00C20D6F" w:rsidRDefault="00C20D6F" w:rsidP="00C20D6F">
      <w:pPr>
        <w:jc w:val="both"/>
      </w:pPr>
    </w:p>
    <w:p w14:paraId="017DBE2A" w14:textId="77777777" w:rsidR="00C20D6F" w:rsidRPr="00C20D6F" w:rsidRDefault="00C20D6F" w:rsidP="00C20D6F">
      <w:pPr>
        <w:jc w:val="both"/>
      </w:pPr>
      <w:r w:rsidRPr="00C20D6F">
        <w:t>Do oferty obowiązkowo należy dołączyć:</w:t>
      </w:r>
    </w:p>
    <w:p w14:paraId="4FF50BC7" w14:textId="77777777" w:rsidR="00C20D6F" w:rsidRPr="00C20D6F" w:rsidRDefault="00C20D6F" w:rsidP="00C20D6F">
      <w:pPr>
        <w:jc w:val="both"/>
      </w:pPr>
      <w:r w:rsidRPr="00C20D6F">
        <w:t>- aktualny odpis z właściwego rejestru lub centralnej ewidencji i informacji o działalności gospodarczej, jeżeli odrębne przepisy wymagają wpisu do rejestru lub ewidencji, wystawiony nie wcześniej niż 6 miesięcy przed upływem terminu składania ofert.</w:t>
      </w:r>
    </w:p>
    <w:p w14:paraId="55F317A2" w14:textId="10EEC669" w:rsidR="00897FB3" w:rsidRPr="00897FB3" w:rsidRDefault="00873C87" w:rsidP="00D31901">
      <w:pPr>
        <w:jc w:val="both"/>
      </w:pPr>
      <w:r w:rsidRPr="00897FB3">
        <w:br/>
      </w:r>
      <w:r w:rsidRPr="00897FB3">
        <w:rPr>
          <w:b/>
        </w:rPr>
        <w:t>Załączniki</w:t>
      </w:r>
      <w:r w:rsidR="00897FB3" w:rsidRPr="00897FB3">
        <w:t>:</w:t>
      </w:r>
      <w:r w:rsidRPr="00897FB3">
        <w:br/>
      </w:r>
      <w:r w:rsidR="00897FB3" w:rsidRPr="00897FB3">
        <w:t>Za</w:t>
      </w:r>
      <w:r w:rsidR="00B34F40">
        <w:t>łącznik nr 2- formularz oferty W</w:t>
      </w:r>
      <w:r w:rsidR="00897FB3" w:rsidRPr="00897FB3">
        <w:t>ykonawcy</w:t>
      </w:r>
    </w:p>
    <w:p w14:paraId="69DE74F2" w14:textId="796F7BE1" w:rsidR="00897FB3" w:rsidRPr="00897FB3" w:rsidRDefault="00897FB3" w:rsidP="00D31901">
      <w:pPr>
        <w:jc w:val="both"/>
      </w:pPr>
      <w:r w:rsidRPr="00897FB3">
        <w:t xml:space="preserve">załącznik nr 3 - protokół </w:t>
      </w:r>
      <w:r w:rsidR="00B34F40">
        <w:t>zdawczo-</w:t>
      </w:r>
      <w:r w:rsidRPr="00897FB3">
        <w:t>odbiorczy</w:t>
      </w:r>
    </w:p>
    <w:p w14:paraId="1639529D" w14:textId="77777777" w:rsidR="00873C87" w:rsidRPr="00897FB3" w:rsidRDefault="00897FB3" w:rsidP="00D31901">
      <w:pPr>
        <w:jc w:val="both"/>
        <w:rPr>
          <w:color w:val="FF0000"/>
        </w:rPr>
      </w:pPr>
      <w:r w:rsidRPr="00897FB3">
        <w:t xml:space="preserve">załącznik nr 4 – wzór umowy </w:t>
      </w:r>
      <w:r w:rsidRPr="00897FB3">
        <w:rPr>
          <w:sz w:val="28"/>
        </w:rPr>
        <w:t xml:space="preserve">   </w:t>
      </w:r>
      <w:r w:rsidRPr="00897FB3">
        <w:rPr>
          <w:vertAlign w:val="superscript"/>
        </w:rPr>
        <w:t xml:space="preserve">     </w:t>
      </w:r>
      <w:r w:rsidRPr="00897FB3">
        <w:t xml:space="preserve">                                                             </w:t>
      </w:r>
    </w:p>
    <w:p w14:paraId="30231DB0" w14:textId="77777777" w:rsidR="00873C87" w:rsidRPr="00897FB3" w:rsidRDefault="00873C87" w:rsidP="006B503C">
      <w:pPr>
        <w:jc w:val="both"/>
      </w:pPr>
    </w:p>
    <w:p w14:paraId="4E36BBCF" w14:textId="77777777" w:rsidR="009417B7" w:rsidRPr="00897FB3" w:rsidRDefault="00485235" w:rsidP="006B503C">
      <w:pPr>
        <w:jc w:val="both"/>
      </w:pPr>
    </w:p>
    <w:sectPr w:rsidR="009417B7" w:rsidRPr="00897FB3" w:rsidSect="00D5483B">
      <w:footerReference w:type="default" r:id="rId13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F2FB" w14:textId="77777777" w:rsidR="00485235" w:rsidRDefault="00485235" w:rsidP="00897FB3">
      <w:r>
        <w:separator/>
      </w:r>
    </w:p>
  </w:endnote>
  <w:endnote w:type="continuationSeparator" w:id="0">
    <w:p w14:paraId="0E14EF92" w14:textId="77777777" w:rsidR="00485235" w:rsidRDefault="00485235" w:rsidP="0089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369482"/>
      <w:docPartObj>
        <w:docPartGallery w:val="Page Numbers (Bottom of Page)"/>
        <w:docPartUnique/>
      </w:docPartObj>
    </w:sdtPr>
    <w:sdtEndPr/>
    <w:sdtContent>
      <w:p w14:paraId="21C19FD6" w14:textId="77777777" w:rsidR="00897FB3" w:rsidRDefault="00897F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83B">
          <w:rPr>
            <w:noProof/>
          </w:rPr>
          <w:t>5</w:t>
        </w:r>
        <w:r>
          <w:fldChar w:fldCharType="end"/>
        </w:r>
      </w:p>
    </w:sdtContent>
  </w:sdt>
  <w:p w14:paraId="1C1D9542" w14:textId="77777777" w:rsidR="00897FB3" w:rsidRDefault="00897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F8C4B" w14:textId="77777777" w:rsidR="00485235" w:rsidRDefault="00485235" w:rsidP="00897FB3">
      <w:r>
        <w:separator/>
      </w:r>
    </w:p>
  </w:footnote>
  <w:footnote w:type="continuationSeparator" w:id="0">
    <w:p w14:paraId="0FFDEDAB" w14:textId="77777777" w:rsidR="00485235" w:rsidRDefault="00485235" w:rsidP="0089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F9C"/>
    <w:multiLevelType w:val="hybridMultilevel"/>
    <w:tmpl w:val="E4B0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89E"/>
    <w:multiLevelType w:val="hybridMultilevel"/>
    <w:tmpl w:val="C616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755D"/>
    <w:multiLevelType w:val="hybridMultilevel"/>
    <w:tmpl w:val="B5168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C17F5"/>
    <w:multiLevelType w:val="hybridMultilevel"/>
    <w:tmpl w:val="F7DE84A8"/>
    <w:lvl w:ilvl="0" w:tplc="988CA9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145A"/>
    <w:multiLevelType w:val="hybridMultilevel"/>
    <w:tmpl w:val="7C8CAE2E"/>
    <w:lvl w:ilvl="0" w:tplc="4B0A417C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DAF30F7"/>
    <w:multiLevelType w:val="hybridMultilevel"/>
    <w:tmpl w:val="84A4F61E"/>
    <w:lvl w:ilvl="0" w:tplc="D9D6640A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1F"/>
    <w:rsid w:val="000636C5"/>
    <w:rsid w:val="000E347B"/>
    <w:rsid w:val="001E32DB"/>
    <w:rsid w:val="003C315B"/>
    <w:rsid w:val="00436826"/>
    <w:rsid w:val="00453777"/>
    <w:rsid w:val="00485235"/>
    <w:rsid w:val="004D652B"/>
    <w:rsid w:val="00617E7B"/>
    <w:rsid w:val="0062008F"/>
    <w:rsid w:val="00630B40"/>
    <w:rsid w:val="006B503C"/>
    <w:rsid w:val="006E1DE4"/>
    <w:rsid w:val="006F797A"/>
    <w:rsid w:val="007663DB"/>
    <w:rsid w:val="00813EFE"/>
    <w:rsid w:val="00873C87"/>
    <w:rsid w:val="00897FB3"/>
    <w:rsid w:val="008A53AA"/>
    <w:rsid w:val="008B3DCF"/>
    <w:rsid w:val="00B27BD6"/>
    <w:rsid w:val="00B31B77"/>
    <w:rsid w:val="00B34F40"/>
    <w:rsid w:val="00B42085"/>
    <w:rsid w:val="00BC2235"/>
    <w:rsid w:val="00C0152D"/>
    <w:rsid w:val="00C20D6F"/>
    <w:rsid w:val="00D31901"/>
    <w:rsid w:val="00D5483B"/>
    <w:rsid w:val="00D5576F"/>
    <w:rsid w:val="00DD4BC8"/>
    <w:rsid w:val="00DD735A"/>
    <w:rsid w:val="00F9441F"/>
    <w:rsid w:val="00FB3BA9"/>
    <w:rsid w:val="00FD3E12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6E9F"/>
  <w15:chartTrackingRefBased/>
  <w15:docId w15:val="{60D78486-1F97-4A6F-938E-409DBFA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41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41F"/>
    <w:pPr>
      <w:ind w:left="720"/>
      <w:contextualSpacing/>
    </w:pPr>
  </w:style>
  <w:style w:type="table" w:styleId="Tabela-Siatka">
    <w:name w:val="Table Grid"/>
    <w:basedOn w:val="Standardowy"/>
    <w:uiPriority w:val="39"/>
    <w:rsid w:val="00F9441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E1DE4"/>
  </w:style>
  <w:style w:type="paragraph" w:styleId="Nagwek">
    <w:name w:val="header"/>
    <w:basedOn w:val="Normalny"/>
    <w:next w:val="Tekstpodstawowy"/>
    <w:link w:val="NagwekZnak"/>
    <w:qFormat/>
    <w:rsid w:val="00897F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97FB3"/>
    <w:rPr>
      <w:rFonts w:ascii="Liberation Sans" w:eastAsia="Microsoft YaHei" w:hAnsi="Liberation Sans" w:cs="Arial"/>
      <w:color w:val="00000A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7F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7F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F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2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2DB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D7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przet-do-sportow-uprawianych-na-boiskach-416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4zelow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4zelow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artykuly-i-sprzet-sportowy-40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sprzet-sportowy-do-uprawiania-sportow-na-wolnym-powietrzu-40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2874-CC52-4036-A7AF-133906FF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cp:lastPrinted>2023-04-03T11:10:00Z</cp:lastPrinted>
  <dcterms:created xsi:type="dcterms:W3CDTF">2023-05-08T06:09:00Z</dcterms:created>
  <dcterms:modified xsi:type="dcterms:W3CDTF">2023-05-08T06:09:00Z</dcterms:modified>
</cp:coreProperties>
</file>