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</w:t>
      </w:r>
      <w:r w:rsidR="00F72E1E">
        <w:rPr>
          <w:rFonts w:ascii="Roboto" w:hAnsi="Roboto" w:cstheme="minorHAnsi"/>
          <w:bCs/>
          <w:sz w:val="22"/>
          <w:szCs w:val="22"/>
        </w:rPr>
        <w:t>6</w:t>
      </w:r>
      <w:r w:rsidRPr="00CE7B60">
        <w:rPr>
          <w:rFonts w:ascii="Roboto" w:hAnsi="Roboto" w:cstheme="minorHAnsi"/>
          <w:bCs/>
          <w:sz w:val="22"/>
          <w:szCs w:val="22"/>
        </w:rPr>
        <w:t xml:space="preserve"> lutego 2025</w:t>
      </w:r>
    </w:p>
    <w:p w:rsidR="007A50A5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F72E1E">
        <w:rPr>
          <w:rFonts w:ascii="Roboto" w:hAnsi="Roboto" w:cstheme="minorHAnsi"/>
          <w:b/>
          <w:bCs/>
          <w:sz w:val="22"/>
          <w:szCs w:val="22"/>
        </w:rPr>
        <w:t>19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AD17B7" w:rsidRDefault="00AD17B7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AD17B7" w:rsidRDefault="00AD17B7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AD17B7" w:rsidRPr="00CE7B60" w:rsidRDefault="00AD17B7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F72E1E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Magdalena Makaruk – Denejko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4D6EA7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61686F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9F4429">
        <w:rPr>
          <w:rFonts w:ascii="Roboto" w:hAnsi="Roboto" w:cstheme="minorHAnsi"/>
          <w:b/>
          <w:bCs/>
          <w:sz w:val="22"/>
          <w:szCs w:val="22"/>
        </w:rPr>
        <w:t>warzyw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4D6EA7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4D6EA7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4D6EA7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4D6EA7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 xml:space="preserve">od dnia podpisania umowy do dnia </w:t>
      </w:r>
      <w:r w:rsidR="00F72E1E">
        <w:rPr>
          <w:rFonts w:ascii="Roboto" w:hAnsi="Roboto" w:cstheme="minorHAnsi"/>
          <w:sz w:val="22"/>
          <w:szCs w:val="22"/>
        </w:rPr>
        <w:t xml:space="preserve">27 czerwca </w:t>
      </w:r>
      <w:r w:rsidR="00A43801" w:rsidRPr="00CE7B60">
        <w:rPr>
          <w:rFonts w:ascii="Roboto" w:hAnsi="Roboto" w:cstheme="minorHAnsi"/>
          <w:sz w:val="22"/>
          <w:szCs w:val="22"/>
        </w:rPr>
        <w:t xml:space="preserve">2025r. 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4D6EA7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4D6EA7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4D6EA7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4D6EA7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4D6EA7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AD17B7" w:rsidRDefault="00AD17B7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AD17B7" w:rsidRPr="00CE7B60" w:rsidRDefault="00AD17B7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4D6EA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F72E1E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4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</w:t>
      </w:r>
      <w:r w:rsidR="00F72E1E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0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F72E1E">
        <w:rPr>
          <w:rFonts w:ascii="Roboto" w:hAnsi="Roboto" w:cstheme="minorHAnsi"/>
          <w:b/>
          <w:bCs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4D6EA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4D6EA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4D6EA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4D6EA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4D6EA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4D6EA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4D6EA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4D6EA7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Pr="00CE7B60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</w:t>
      </w:r>
      <w:r w:rsidR="00417F88" w:rsidRPr="00CE7B60">
        <w:rPr>
          <w:rFonts w:ascii="Roboto" w:eastAsia="Calibri" w:hAnsi="Roboto" w:cstheme="minorHAnsi"/>
          <w:sz w:val="22"/>
          <w:szCs w:val="22"/>
        </w:rPr>
        <w:lastRenderedPageBreak/>
        <w:t>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D17B7" w:rsidRDefault="00AD17B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D17B7" w:rsidRDefault="00AD17B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D17B7" w:rsidRDefault="00AD17B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D17B7" w:rsidRDefault="00AD17B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D17B7" w:rsidRDefault="00AD17B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D17B7" w:rsidRPr="00CE7B60" w:rsidRDefault="00AD17B7" w:rsidP="00704241">
      <w:pPr>
        <w:spacing w:after="120"/>
        <w:rPr>
          <w:rFonts w:ascii="Roboto" w:hAnsi="Roboto" w:cstheme="minorHAnsi"/>
          <w:sz w:val="22"/>
          <w:szCs w:val="22"/>
        </w:rPr>
      </w:pPr>
      <w:bookmarkStart w:id="7" w:name="_GoBack"/>
      <w:bookmarkEnd w:id="7"/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4D6EA7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4D6EA7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4D6EA7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4D6EA7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4D6EA7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8" w:name="_Hlk61615485"/>
    </w:p>
    <w:p w:rsidR="00A62C6A" w:rsidRPr="00A14640" w:rsidRDefault="00A62C6A" w:rsidP="004D6EA7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8"/>
      <w:r w:rsidRPr="00A14640">
        <w:rPr>
          <w:rFonts w:ascii="Helvetica" w:hAnsi="Helvetica"/>
          <w:sz w:val="20"/>
          <w:szCs w:val="20"/>
        </w:rPr>
        <w:lastRenderedPageBreak/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4D6EA7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4D6EA7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4D6EA7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4D6EA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4D6EA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4D6EA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4D6EA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4D6EA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4D6EA7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p w:rsidR="009F4429" w:rsidRDefault="009F4429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/>
      </w:tblPr>
      <w:tblGrid>
        <w:gridCol w:w="780"/>
        <w:gridCol w:w="5680"/>
        <w:gridCol w:w="1060"/>
        <w:gridCol w:w="1060"/>
      </w:tblGrid>
      <w:tr w:rsidR="009F4429" w:rsidTr="009F4429">
        <w:trPr>
          <w:trHeight w:val="320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WARZYWA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</w:tr>
      <w:tr w:rsidR="009F4429" w:rsidTr="009F4429">
        <w:trPr>
          <w:trHeight w:val="70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9F4429" w:rsidTr="009F4429">
        <w:trPr>
          <w:trHeight w:val="5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BAKŁAŻAN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barwa owocu ciemnofioletowa, odpowiednio dojrzały, kształt charakterystyczny dla danej odmiany, preferowana długość ok. 20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F4429" w:rsidTr="009F4429">
        <w:trPr>
          <w:trHeight w:val="5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BATATY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czyste i zdrowe, o jednolitej odmianie, bulwy odpowiednio dojrzałe, niezzieleniałe, bez objawów zaparzeń, zmarznięcia i gnicia.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9F4429" w:rsidTr="009F4429">
        <w:trPr>
          <w:trHeight w:val="6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BAZYLIA DONICZKA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doniczka -ładne, duże, zielone liście, bez oznak zwiędnięcia lub gnicia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9F4429" w:rsidTr="009F4429">
        <w:trPr>
          <w:trHeight w:val="7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całe, jędrne, o świeżym wyglądzie, róże brokułu zwarte, wolne od wad takich jak plamy lub ślady zmarznięcia, pąki róż muszą być zupełnie zamknięte, bez pustych wewnętrznych kanałów.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7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BOTWINKA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Botwina świeża, zdrowa, bez plam, zaschniętych części. O naturalnym dla odmiany zabarwieniu czerwono zielonym.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Pakowana w pęczki. Masa co najmniej 350g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PĘCZ.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9F4429" w:rsidTr="009F4429">
        <w:trPr>
          <w:trHeight w:val="6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BURAKI CZERWONE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świeże, całe, zdrowe bez oznak gnicia, śladów pleśni, czyste, jędrne, Barwa w przekroju ciemnoczerwona, charakterystyczna dla odmiany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</w:tr>
      <w:tr w:rsidR="009F4429" w:rsidTr="009F4429">
        <w:trPr>
          <w:trHeight w:val="5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CEBULA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Cała, ścisła, jędrna, czysta, zdrowa bez objawów gnicia, śladów pleśni, zmarznięcia, dojrzała.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9F4429" w:rsidTr="009F4429">
        <w:trPr>
          <w:trHeight w:val="5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CEBUKLA CZERWONA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Cała, ścisła, jędrna, czysta, zdrowa bez objawów gnicia, śladów pleśni, zmarznięcia, dojrzała.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9F4429" w:rsidTr="009F4429">
        <w:trPr>
          <w:trHeight w:val="5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CUKINIA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cała, jędrna, czysta, zdrowa bez objawów gnicia,śladów pleśni, zmarznięcia, dojrzała.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F4429" w:rsidTr="009F4429">
        <w:trPr>
          <w:trHeight w:val="8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CYKORIA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jędrna, niezwiędnięta, o świeżym wyglądzie, nieuszkodzona, niepopękana,  wolne od owadów i szkodników oraz uszkodzeń spowodowanych przez choroby i szkodnik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</w:tr>
      <w:tr w:rsidR="009F4429" w:rsidTr="009F4429">
        <w:trPr>
          <w:trHeight w:val="8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DYNIA JADALNA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cała, jędrna o kulistym lub lekko spłaszczonym kształcie, powierzchnia gładka bez uszkodzeń, skaz, zadrapań, miąższ zwarty o barwie pomarańczowo-żółtym 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9F4429" w:rsidTr="009F4429">
        <w:trPr>
          <w:trHeight w:val="5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CZOSNEK GŁÓWKA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-główki twarde, zwarte, zdrowe (bez oznak gnicia,śladów pleśni), o odpowiednio  kształcie, czyste, praktycznie wolne od szkodników 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9F4429" w:rsidTr="009F4429">
        <w:trPr>
          <w:trHeight w:val="11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JARMUŻ - Ś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wieże, czyste, zdrowe (bez oznak gnicia, śladów pleśni oraz uszkodzeń takich jak skazy, obicia),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całe, twarde, o gęstej strukturze, wolne od owadów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 szkodników oraz uszkodzeń spowodowanych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 choroby i szkodnik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KALAFIOR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Świeże, czyste, zdrowe (bez oznak gnicia, śladów pleśni oraz uszkodzeń takich jak skazy, obicia), bez liści, całe, twarde, o gęstej strukturze, wolne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owadów i szkodników oraz uszkodzeń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spowodowanych przez choroby i szkodniki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1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KALAREPA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świeżym i zdrowym wyglądzie, kształt korzenia kolisty, nieprzerośnięty i łukowaty, odpowiednio dojrzała, twarda, niepopękana, bez uszkodzeń mechanicznych, bez objawów gnicia i wysuszenia, dopuszcza się kalarepę z zielonymi, jędrnymi liśćmi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6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CZERWONA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Główki powinny być świeże, czyste, zdrowe (bez objawów gnicia, śladów pleśni), zwarte, bez oznak kwitnienia, wolne od owadów i szkodników oraz uszkodzeń spowodowanych przez choroby i szkodniki. Opakowania powinny stanowić worki raszlowe od 10 kg do 20 kg lub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F4429" w:rsidTr="009F4429">
        <w:trPr>
          <w:trHeight w:val="16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Główki powinny być świeże, czyste, zdrowe (bez objawów gnicia, śladów pleśni), zwarte, bez oznak kwitnienia, wolne od owadów i szkodników oraz uszkodzeń spowodowanych przez choroby i szkodniki. Opakowania powinny stanowić worki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raszlowe od 10 kg do 20 kg lub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F4429" w:rsidTr="009F4429">
        <w:trPr>
          <w:trHeight w:val="14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KAPUSTA PEKIŃSKA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Świeża, czysta, zdrowa (bez oznak gnicia, śladów pleśni), wolna od owadów i szkodników oraz uszkodzeń spowodowanych przez choroby i szkodniki, pozbawiona nieprawidłowej wilgoci zewnętrznej, bez oznak kwitnienia; główka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powinna być prawidłowo wykształcona, ze zwartymi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liśćmi. Masa główki nie mniej niż 350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KOPER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Świeża, zdrowa niedopuszczalne objawy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pleśni, bez plam, pożółkłych i zaschniętych części, pędów kwiatostanowych i innych zanieczyszczeń obcych (części traw,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chwastów), czysta. Pęczek min. 29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F4429" w:rsidTr="009F4429">
        <w:trPr>
          <w:trHeight w:val="10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KIEŁKI RZODKIEWKI 50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świeże, czyste, bez ziemi, chwastów i traw, niezwiędnięty, bez objawów gnicia, pleśni, zaparzenia, bez uszkodzeń mechanicznych, opakowania powinny  być przeznaczonych do kontaktu z żywnością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6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Korzenie świeże, jędrne, całe, zdrowe (bez oznak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gnicia, śladów pleśni, uszkodzeń spowodowanych przez mróz), czyste, wolne od szkodników i szkód przez nich wyrządzonych, nie zdrewniałe, proste, kształtne. Opakowania powinny stanowić worki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raszlowe od 10 kg do 20 kg lub skrzynki do 20 kg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</w:tr>
      <w:tr w:rsidR="009F4429" w:rsidTr="009F4429">
        <w:trPr>
          <w:trHeight w:val="1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NATKA PIETRUSZKI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niedopuszczalne objawy pleśni, bez plam, pożółkłych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zaschniętych części, pędów kwiatostanowych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innych zanieczyszczeń obcych (części traw,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chwastów), czysta. Pęczek min. 40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</w:tr>
      <w:tr w:rsidR="009F4429" w:rsidTr="009F4429">
        <w:trPr>
          <w:trHeight w:val="18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OGÓREK SZKLARNIA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Świeże, jędrne, czyste, całe, zdrowe bez objaw gnicia, śladów pleśni, o komorach nasiennych bez pustych przestrzeni, wolne od owadów i szkodników oraz uszkodzeń.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Jednolite w opakowaniu pod względem pochodzenia, odmiany, jakości i wielkości. Opakowania powinny stanowić worki foliowe do 10 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CZERWONA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ZIELONA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ŻÓŁTA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9F4429" w:rsidTr="009F4429">
        <w:trPr>
          <w:trHeight w:val="15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POMIDOR CZERWONY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handlowego. Zdrowe (bez objawów gnicia,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śladów pleśni), całe (wolne od pęknięć), czyste, wolne od i widocznych zazielenień (zielonych piętek. Jednolite pod względem pochodzenia, odmiany, jakości i wielkości.Pomidory należy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układać warstwowo do wysokości nie większej niż 20cm.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</w:tr>
      <w:tr w:rsidR="009F4429" w:rsidTr="009F4429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POMIDOR MALINOWY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9F4429" w:rsidTr="009F4429">
        <w:trPr>
          <w:trHeight w:val="14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POMIDOR KOKTAJLOWY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handlowego. Zdrowe (bez objawów gnicia, śladów pleśni), całe (wolne od pęknięć), czyste, wolne od i widocznych zazielenień (zielonych piętek. Jednolite pod względem pochodzenia,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odmiany, jakości i wielkości.Pomidory należy układać warstwowo do wysokości nie większej niż 20cm.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9F4429" w:rsidTr="009F4429">
        <w:trPr>
          <w:trHeight w:val="15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PIECZARKA ŚWIEŻA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Zdrowe, czyste (dopuszcza się obecność śladowych ilości podłoża uprawy na trzonie pieczarek), z zamkniętym lub lekko otwartym kapeluszem i odciętą dolną częścią trzonu. Opakowanie stanowią skrzynki o 3 kg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</w:tr>
      <w:tr w:rsidR="009F4429" w:rsidTr="009F4429">
        <w:trPr>
          <w:trHeight w:val="17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PIETRUSZKA KORZEŃ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Korzeń zdrowy (bez oznak gnicia, śladów pleśni, zmarznięcia), czyste, twarde, jędrne, kształtne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stłuczeń, pęknięć oraz ordzewień skórki, wolne od uszkodzeń spowodowanych przez choroby i szkodniki. Opakowania powinny stanowić worki raszlowe od 5 kg do 10 kg lub skrzynki do 10 kg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wykonane z materiałów opakowaniowych 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Zdrowe (bez oznak gnicia, pleśni), wolne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z usuniętymi nieświeżymi lub zwiędniętymi liśćmi oraz przyciętymi końcówkami liści i korzeniami; biała lub zielonkawobiała część pora powinna stanowić co najmniej jedną trzecią całkowitej długości lub połowę części osłoniętej.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</w:tr>
      <w:tr w:rsidR="009F4429" w:rsidTr="009F4429">
        <w:trPr>
          <w:trHeight w:val="5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ROZMARYN ŚWIEŻY -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świeżym i zdrowym wyglądzie, bez przesuszenia i zgnicia, cięty, opakowanie 100g;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9F4429" w:rsidTr="009F4429">
        <w:trPr>
          <w:trHeight w:val="12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RZEPA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(bez oznak gnicia, pleśni),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czysta, niepopękana, bez liści, praktycznie wolna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i uszkodzeń przez nich wyrządzonych, pozbawiona nieprawidłowej wilgoci zewnętrznej, dostatecznie osuszona jeśli była myta; korzonek poniżej zgrubienia może być odcięty.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RZEPA CZARNA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(bez oznak gnicia, pleśni), czysta, niepopękana, bez liści, praktycznie wolna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i uszkodzeń przez nich wyrządzonych, pozbawiona nieprawidłowej wilgoci zewnętrznej, dostatecznie osuszona jeśli była myta; korzonek poniżej zgrubienia może być odcięty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RZODKIEWKA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zdrowa bez oznak gnicia, pleśni, czysta,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 popękana, dostatecznie osuszona, była myta. Konsystencja jędrna-niedopuszczalna zdrewniała, sparciała. Jednolite pod względem pochodzenia, odmiany, jakości i wielkości. Pęczek min. 180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MIX SAŁAT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– 150g.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SAŁATA RUKOLA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 ermozgrzewalne, wykonane z materiałów opakowaniowych przeznaczonych do kontaktu z żywnością. Masa netto 100g – 150g.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SAŁATA MASŁOWA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jędrna, czysta, cała, zdrowa bez oznak gnicia, odpowiednio ukształtowana, wolna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szkodników. Główka nie mniejsza niż 150 g. Sałata jednolita w opakowaniu pod względem pochodzenia, odmiany, jakości.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9F4429" w:rsidTr="009F4429">
        <w:trPr>
          <w:trHeight w:val="1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SAŁATA LODOWA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jędrna, czysta, cała, wolna od szkodników oraz uszkodzeń spowodowanych przez choroby i szkodniki, liście sztywne pofałdowane, korzenie powinny być odcięte blisko u podstawy liści zewnętrznych. Masa główki nie mniejsza niż 300 g. Sałata jednolita w opakowaniu pod względem pochodzenia, odmiany, jakości.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F4429" w:rsidTr="009F4429">
        <w:trPr>
          <w:trHeight w:val="11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SELER NACIOWY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Świeży, zdrowy (bez oznak pleśni, gnicia lub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zaparzenia), bez plam, zaschniętych części, pędów kwiatostanowych i innych zanieczyszczeń obcych (części traw, chwastów), czysty, praktycznie wolny od szkodników i uszkodzeń spowodowanych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 szkodniki.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6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SELER KORZEŃ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kształtne, twarde, jędrne, bez pustych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przestrzeni na przekroju podłużnym, czyste, bez stłuczeń i ordzewień skórki, zdrowe bez oznak gnicia, pozbawione nieprawidłowej wilgoci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zewnętrznej. Seler jednolity w opakowaniu pod względem pochodzenia, odmiany, jakości i wielkości. Opakowania powinny stanowić worki lub skrzynki do 10 kg wykonane z materiałów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opakowaniowych przeznaczonych do kontaktu z żywnością.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ROSZPONKA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100g – 150g.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9F4429" w:rsidTr="009F4429">
        <w:trPr>
          <w:trHeight w:val="128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SZCZYPIOR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świeży, zdrowy bez oznak pleśni,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plam, pożółkłych i zaschniętych części, zanieczyszczeń obcych (części traw, chwastów), bez cebuli, czysty, praktycznie wolny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 i uszkodzeń spowodowanych przez szkodniki; Barwa zielona. Jednolity pod względem pochodzenia, odmiany, jakości i wielkości. Pęczek min. 100g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SZPINAK ŚWIEŻY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100g – 200g.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F4429" w:rsidTr="009F4429">
        <w:trPr>
          <w:trHeight w:val="10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 JADALNY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Ziemniaki zebrane po osiągnięciu pełnej dojrzałości o skórce skórkowaciałej. Jednolite odmianowo,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dojrzałe, zdrowe, nie zazieleniałe, czyste, nie uszkodzone, nie nadmarznięte, nie porośnięte, o kształcie i zabarwieniu miąższu typowym dla odmiany.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</w:tr>
      <w:tr w:rsidR="009F4429" w:rsidTr="009F4429">
        <w:trPr>
          <w:trHeight w:val="106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 MŁODY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Ziemniaki zebrane przed osiągnięciem pełnej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dojrzałości o skórce łuszczącej się. Powinny być dostępne od miesiąca maja. Jednolite odmianowo, całe, dojrzałe, zdrowe, nie zazieleniałe, czyste, jędrne, bez uszkodzeń 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</w:tr>
      <w:tr w:rsidR="009F4429" w:rsidTr="009F4429">
        <w:trPr>
          <w:trHeight w:val="320"/>
        </w:trPr>
        <w:tc>
          <w:tcPr>
            <w:tcW w:w="8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F4429" w:rsidRDefault="009F4429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9F4429" w:rsidRDefault="009F4429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/>
      </w:tblPr>
      <w:tblGrid>
        <w:gridCol w:w="946"/>
        <w:gridCol w:w="6839"/>
        <w:gridCol w:w="1281"/>
      </w:tblGrid>
      <w:tr w:rsidR="009F4429" w:rsidTr="009F4429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</w:tr>
      <w:tr w:rsidR="009F4429" w:rsidTr="009F4429">
        <w:trPr>
          <w:trHeight w:val="300"/>
        </w:trPr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Opakowania powinny by wykonane z materiałów przeznaczonych do kontaktu z żywnością.</w:t>
            </w:r>
          </w:p>
        </w:tc>
      </w:tr>
      <w:tr w:rsidR="009F4429" w:rsidTr="009F4429">
        <w:trPr>
          <w:trHeight w:val="300"/>
        </w:trPr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Każdorazowo opakowania powinny zabezpieczać produkt przed uszkodzeniem i zanieczyszczeniem, powinny być czyste, bez obcych</w:t>
            </w: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zapachów, zabrudzeń, pleśni i uszkodzeń mechanicznych.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partii dostawczej należy dołączyć specyfikację zawierającą następujące informacje:</w:t>
            </w: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produktu,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nazwę dostawcy – producenta, adres,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 pochodzenia,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warunki przechowywania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klasę jakości handlowej (jeśli wymagane w opisie)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oraz pozostałe informacje zgodnie z aktualnie obowiązującym prawem.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429" w:rsidTr="009F4429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</w:tr>
    </w:tbl>
    <w:p w:rsidR="009F4429" w:rsidRDefault="009F4429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9F4429" w:rsidRDefault="009F4429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F72E1E">
        <w:rPr>
          <w:rFonts w:ascii="Roboto" w:hAnsi="Roboto" w:cstheme="minorHAnsi"/>
          <w:b/>
          <w:bCs/>
          <w:sz w:val="22"/>
          <w:szCs w:val="22"/>
        </w:rPr>
        <w:t>19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9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9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9F4429">
        <w:rPr>
          <w:rFonts w:ascii="Roboto" w:hAnsi="Roboto" w:cstheme="minorHAnsi"/>
          <w:b/>
          <w:bCs/>
          <w:sz w:val="22"/>
          <w:szCs w:val="22"/>
        </w:rPr>
        <w:t>warzyw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10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>rzedmiotu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10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 xml:space="preserve">stawce 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4D6EA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4D6EA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4D6EA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4D6EA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4D6EA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4D6EA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4D6EA7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4D6EA7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4D6EA7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p w:rsidR="00A65CA5" w:rsidRDefault="00A65CA5" w:rsidP="00A65CA5"/>
    <w:p w:rsidR="009F4429" w:rsidRDefault="009F4429" w:rsidP="00A65CA5"/>
    <w:p w:rsidR="009F4429" w:rsidRDefault="009F4429" w:rsidP="00A65CA5"/>
    <w:p w:rsidR="009F4429" w:rsidRDefault="009F4429" w:rsidP="00A65CA5"/>
    <w:tbl>
      <w:tblPr>
        <w:tblW w:w="9639" w:type="dxa"/>
        <w:tblCellMar>
          <w:left w:w="70" w:type="dxa"/>
          <w:right w:w="70" w:type="dxa"/>
        </w:tblCellMar>
        <w:tblLook w:val="04A0"/>
      </w:tblPr>
      <w:tblGrid>
        <w:gridCol w:w="435"/>
        <w:gridCol w:w="3197"/>
        <w:gridCol w:w="594"/>
        <w:gridCol w:w="594"/>
        <w:gridCol w:w="1134"/>
        <w:gridCol w:w="992"/>
        <w:gridCol w:w="648"/>
        <w:gridCol w:w="1021"/>
        <w:gridCol w:w="1024"/>
      </w:tblGrid>
      <w:tr w:rsidR="009F4429" w:rsidTr="009F4429">
        <w:trPr>
          <w:trHeight w:val="320"/>
        </w:trPr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WARZYWA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429" w:rsidRDefault="009F4429">
            <w:pPr>
              <w:rPr>
                <w:sz w:val="20"/>
                <w:szCs w:val="20"/>
              </w:rPr>
            </w:pPr>
          </w:p>
        </w:tc>
      </w:tr>
      <w:tr w:rsidR="009F4429" w:rsidTr="009F4429">
        <w:trPr>
          <w:trHeight w:val="70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9F4429" w:rsidTr="009F4429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BAKŁAŻAN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 barwa owocu ciemnofioletowa, odpowiednio dojrzały, kształt charakterystyczny dla danej odmiany, preferowana długość ok. 20 cm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BATATY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czyste i zdrowe, o jednolitej odmianie, bulwy odpowiednio dojrzałe, niezzieleniałe, bez objawów zaparzeń, zmarznięcia i gnicia.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6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BAZYLIA DONICZKA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doniczka -ładne, duże, zielone liście, bez oznak zwiędnięcia lub gnicia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7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całe, jędrne, o świeżym wyglądzie, róże brokułu zwarte, wolne od wad takich jak plamy lub ślady zmarznięcia, pąki róż muszą być zupełnie zamknięte, bez pustych wewnętrznych kanałów.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7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BOTWINKA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Botwina świeża, zdrowa, bez plam, zaschniętych części. O naturalnym dla odmiany zabarwieniu czerwono zielonym.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Pakowana w pęczki. Masa co najmniej 350g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PĘCZ.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69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BURAKI CZERWONE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świeże, całe, zdrowe bez oznak gnicia, śladów pleśni, czyste, jędrne, Barwa w przekroju ciemnoczerwona, charakterystyczna dla odmiany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7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CEBULA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Cała, ścisła, jędrna, czysta, zdrowa bez objawów gnicia, śladów pleśni, zmarznięcia, dojrzała.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8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CEBUKLA CZERWONA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Cała, ścisła, jędrna, czysta, zdrowa bez objawów gnicia, śladów pleśni, zmarznięcia, dojrzała.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CUKINIA -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cała, jędrna, czysta, zdrowa bez objawów gnicia,śladów pleśni, zmarznięcia, dojrzała.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8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CYKORIA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jędrna, niezwiędnięta, o świeżym wyglądzie, nieuszkodzona, niepopękana,  wolne od owadów i szkodników oraz uszkodzeń spowodowanych przez choroby i szkodnik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8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DYNIA JADALNA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cała, jędrna o kulistym lub lekko spłaszczonym kształcie, powierzchnia gładka bez uszkodzeń, skaz, zadrapań, miąższ zwarty o barwie pomarańczowo-żółtym 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CZOSNEK GŁÓWKA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-główki twarde, zwarte, zdrowe (bez oznak gnicia,śladów pleśni), o odpowiednio  kształcie, czyste, praktycznie wolne od szkodników 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18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JARMUŻ - Ś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wieże, czyste, zdrowe (bez oznak gnicia, śladów pleśni oraz uszkodzeń takich jak skazy, obicia),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całe, twarde, o gęstej strukturze, wolne od owadów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 szkodników oraz uszkodzeń spowodowanych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przez choroby i szkodnik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KALAFIOR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Świeże, czyste, zdrowe (bez oznak gnicia, śladów pleśni oraz uszkodzeń takich jak skazy, obicia), bez liści, całe, twarde, o gęstej strukturze, wolne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owadów i szkodników oraz uszkodzeń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spowodowanych przez choroby i szkodniki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1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KALAREPA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świeżym i zdrowym wyglądzie, kształt korzenia kolisty, nieprzerośnięty i łukowaty, odpowiednio dojrzała, twarda, niepopękana, bez uszkodzeń mechanicznych, bez objawów gnicia i wysuszenia, dopuszcza się kalarepę z zielonymi, jędrnymi liśćmi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60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CZERWONA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Główki powinny być świeże, czyste, zdrowe (bez objawów gnicia, śladów pleśni), zwarte, bez oznak kwitnienia, wolne od owadów i szkodników oraz uszkodzeń spowodowanych przez choroby i szkodniki. Opakowania powinny stanowić worki raszlowe od 10 kg do 20 kg lub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6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Główki powinny być świeże, czyste, zdrowe (bez objawów gnicia, śladów pleśni), zwarte, bez oznak kwitnienia, wolne od owadów i szkodników oraz uszkodzeń spowodowanych przez choroby i szkodniki. Opakowania powinny stanowić worki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raszlowe od 10 kg do 20 kg lub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47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KAPUSTA PEKIŃSKA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Świeża, czysta, zdrowa (bez oznak gnicia, śladów pleśni), wolna od owadów i szkodników oraz uszkodzeń spowodowanych przez choroby i szkodniki, pozbawiona nieprawidłowej wilgoci zewnętrznej, bez oznak kwitnienia; główka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powinna być prawidłowo wykształcona, ze zwartymi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liśćmi. Masa główki nie mniej niż 350 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KOPER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Świeża, zdrowa niedopuszczalne objawy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pleśni, bez plam, pożółkłych i zaschniętych części, pędów kwiatostanowych i innych zanieczyszczeń obcych (części traw,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chwastów), czysta. Pęczek min. 29 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9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KIEŁKI RZODKIEWKI 50 G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świeże, czyste, bez ziemi, chwastów i traw, niezwiędnięty, bez objawów gnicia, pleśni, zaparzenia, bez uszkodzeń mechanicznych, opakowania powinny  być przeznaczonych do kontaktu z żywnością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6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Korzenie świeże, jędrne, całe, zdrowe (bez oznak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gnicia, śladów pleśni, uszkodzeń spowodowanych przez mróz), czyste, wolne od szkodników i szkód przez nich wyrządzonych, nie zdrewniałe, proste, kształtne. Opakowania powinny stanowić worki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raszlowe od 10 kg do 20 kg lub skrzynki do 20 kg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NATKA PIETRUSZKI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niedopuszczalne objawy pleśni, bez plam, pożółkłych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zaschniętych części, pędów kwiatostanowych 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innych zanieczyszczeń obcych (części traw,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chwastów), czysta. Pęczek min. 40 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89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OGÓREK SZKLARNIA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Świeże, jędrne, czyste, całe, zdrowe bez objaw gnicia, śladów pleśni, o komorach nasiennych bez pustych przestrzeni, wolne od owadów i szkodników oraz uszkodzeń.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Jednolite w opakowaniu pod względem pochodzenia, odmiany, jakości i wielkości. Opakowania powinny stanowić worki foliowe do 10 kg wykonane z materiałów opakowaniowych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przeznaczonych do kontaktu z żywnością.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CZERWONA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ZIELONA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ŻÓŁTA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handlowego; świeża, czysta, twarda, jędrna,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dobrze rozwinięta, cała, zdrowa. Opakowania powinny stanowić worki foliowe perforowane od 3 kg do 5 kg.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5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POMIDOR CZERWONY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handlowego. Zdrowe (bez objawów gnicia,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śladów pleśni), całe (wolne od pęknięć), czyste, wolne od i widocznych zazielenień (zielonych piętek. Jednolite pod względem pochodzenia, odmiany, jakości i wielkości.Pomidory należy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układać warstwowo do wysokości nie większej niż 20cm.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3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POMIDOR MALINOWY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4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POMIDOR KOKTAJLOWY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charakterystyczny dla danej odmiany lub typu handlowego. Zdrowe (bez objawów gnicia, śladów pleśni), całe (wolne od pęknięć), czyste, wolne od i widocznych zazielenień (zielonych piętek. Jednolite pod względem pochodzenia,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odmiany, jakości i wielkości.Pomidory należy układać warstwowo do wysokości nie większej niż 20cm.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5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PIECZARKA ŚWIEŻA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Zdrowe, czyste (dopuszcza się obecność śladowych ilości podłoża uprawy na trzonie pieczarek), z zamkniętym lub lekko otwartym kapeluszem i odciętą dolną częścią trzonu. Opakowanie stanowią skrzynki o 3 kg wykonane 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materiałów opakowaniowych przeznaczonych 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kontaktu z żywnością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7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PIETRUSZKA KORZEŃ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Korzeń zdrowy (bez oznak gnicia, śladów pleśni, zmarznięcia), czyste, twarde, jędrne, kształtne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stłuczeń, pęknięć oraz ordzewień skórki, wolne od uszkodzeń spowodowanych przez choroby i szkodniki. Opakowania powinny stanowić worki raszlowe od 5 kg do 10 kg lub skrzynki do 10 kg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wykonane z materiałów opakowaniowych przeznaczonych do kontaktu z żywnością.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Zdrowe (bez oznak gnicia, pleśni), wolne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z usuniętymi nieświeżymi lub zwiędniętymi liśćmi oraz przyciętymi końcówkami liści i korzeniami; biała lub zielonkawobiała część pora powinna stanowić co najmniej jedną trzecią całkowitej długości lub połowę części osłoniętej.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56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ROZMARYN ŚWIEŻY -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świeżym i zdrowym wyglądzie, bez przesuszenia i zgnicia, cięty, opakowanie 100g;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RZEPA BIAŁA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(bez oznak gnicia, pleśni),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czysta, niepopękana, bez liści, praktycznie wolna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i uszkodzeń przez nich wyrządzonych, pozbawiona nieprawidłowej wilgoci zewnętrznej, dostatecznie osuszona jeśli była myta; korzonek poniżej zgrubienia może być odcięty.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RZEPA CZARNA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zdrowa (bez oznak gnicia, pleśni), czysta, niepopękana, bez liści, praktycznie wolna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od szkodników i uszkodzeń przez nich wyrządzonych, pozbawiona nieprawidłowej wilgoci zewnętrznej, dostatecznie osuszona jeśli była myta; korzonek poniżej zgrubienia może być odcięty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RZODKIEWKA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Wygląd: zdrowa bez oznak gnicia, pleśni, czysta,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nie popękana, dostatecznie osuszona, była myta. Konsystencja jędrna-niedopuszczalna zdrewniała, sparciała. Jednolite pod względem pochodzenia, odmiany, jakości i wielkości. Pęczek min. 180 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MIX SAŁAT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– 150g.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SAŁATA RUKOLA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 ermozgrzewalne, wykonane z materiałów opakowaniowych przeznaczonych do kontaktu z żywnością. Masa netto 100g – 150g.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SAŁATA MASŁOWA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jędrna, czysta, cała, zdrowa bez oznak gnicia, odpowiednio ukształtowana, wolna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szkodników. Główka nie mniejsza niż 150 g. Sałata jednolita w opakowaniu pod względem pochodzenia, odmiany, jakości.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SAŁATA LODOWA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Świeża, jędrna, czysta, cała, wolna od szkodników oraz uszkodzeń spowodowanych przez choroby i szkodniki, liście sztywne pofałdowane, korzenie powinny być odcięte blisko u podstawy liści zewnętrznych. Masa główki nie mniejsza niż 300 g. Sałata jednolita w opakowaniu pod względem pochodzenia, odmiany, jakości.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17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SELER NACIOWY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Świeży, zdrowy (bez oznak pleśni, gnicia lub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zaparzenia), bez plam, zaschniętych części, pędów kwiatostanowych i innych zanieczyszczeń obcych (części traw, chwastów), czysty, praktycznie wolny od szkodników i uszkodzeń spowodowanych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przez szkodniki.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69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SELER KORZEŃ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kształtne, twarde, jędrne, bez pustych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przestrzeni na przekroju podłużnym, czyste, bez stłuczeń i ordzewień skórki, zdrowe bez oznak gnicia, pozbawione nieprawidłowej wilgoci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zewnętrznej. Seler jednolity w opakowaniu pod względem pochodzenia, odmiany, jakości i wielkości. Opakowania powinny stanowić worki lub skrzynki do 10 kg wykonane z materiałów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opakowaniowych przeznaczonych do kontaktu z żywnością.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ROSZPONKA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100g – 150g.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2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SZCZYPIOR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Wygląd: świeży, zdrowy bez oznak pleśni, bez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plam, pożółkłych i zaschniętych części, zanieczyszczeń obcych (części traw, chwastów), bez cebuli, czysty, praktycznie wolny od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szkodników i uszkodzeń spowodowanych przez szkodniki; Barwa zielona. Jednolity pod względem pochodzenia, odmiany, jakości i wielkości. Pęczek min. 100g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SZPINAK ŚWIEŻY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Produkt otrzymany ze świeżej rukoli (liść).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Opakowania jednostkowe – pudełka lub torby foliowe termozgrzewalne, wykonane z materiałów opakowaniowych przeznaczonych do kontaktu z żywnością. Masa netto 100g – 200g.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 JADALNY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Ziemniaki zebrane po osiągnięciu pełnej dojrzałości o skórce skórkowaciałej. Jednolite odmianowo,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dojrzałe, zdrowe, nie zazieleniałe, czyste, nie uszkodzone, nie nadmarznięte, nie porośnięte, o kształcie i zabarwieniu miąższu typowym dla odmiany.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10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 MŁODY 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Ziemniaki zebrane przed osiągnięciem pełnej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dojrzałości o skórce łuszczącej się. Powinny być dostępne od miesiąca maja. Jednolite odmianowo, całe, dojrzałe, zdrowe, nie zazieleniałe, czyste, jędrne, bez uszkodzeń 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429" w:rsidTr="009F4429">
        <w:trPr>
          <w:trHeight w:val="320"/>
        </w:trPr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F4429" w:rsidRDefault="009F44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429" w:rsidRDefault="009F44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</w:tbl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F72E1E">
        <w:rPr>
          <w:rFonts w:ascii="Roboto" w:hAnsi="Roboto" w:cstheme="minorHAnsi"/>
          <w:b/>
          <w:bCs/>
          <w:sz w:val="22"/>
          <w:szCs w:val="22"/>
        </w:rPr>
        <w:t>19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1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1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4D6EA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4D6EA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4D6EA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4D6EA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4D6EA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4D6EA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4D6EA7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3D5F29" w:rsidRDefault="003D5F29" w:rsidP="004D6EA7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3D5F29">
        <w:rPr>
          <w:rFonts w:ascii="Roboto" w:eastAsia="Calibri" w:hAnsi="Roboto" w:cs="Arial"/>
          <w:sz w:val="22"/>
          <w:szCs w:val="22"/>
        </w:rPr>
        <w:t xml:space="preserve">posiadają minimalne terminy ważności </w:t>
      </w:r>
      <w:r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produktów dostarczanych w danej partii nie krótsze niż 10 dni od dnia dostawy w przypadku nabiału i pieczywa (za wyjątkiem pieczywa powszedniego) oraz 30 dni w przypadku innych artykułów spożywczych.</w:t>
      </w:r>
      <w:r w:rsidR="00EE0603" w:rsidRPr="003D5F29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4D6EA7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4D6EA7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, własnym środkiem </w:t>
      </w:r>
      <w:r w:rsidR="007D216A" w:rsidRPr="00635863">
        <w:rPr>
          <w:rFonts w:ascii="Roboto" w:eastAsia="Calibri" w:hAnsi="Roboto" w:cs="Arial"/>
          <w:sz w:val="22"/>
          <w:szCs w:val="22"/>
        </w:rPr>
        <w:lastRenderedPageBreak/>
        <w:t>transportu spełniającym odpowiednie wymogi sanitarne prawem przewidziane,</w:t>
      </w:r>
    </w:p>
    <w:p w:rsidR="007D216A" w:rsidRPr="00635863" w:rsidRDefault="007D216A" w:rsidP="004D6EA7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4D6EA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4D6EA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4D6EA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4D6EA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4D6EA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4D6EA7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4D6EA7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4D6EA7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4D6EA7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4D6EA7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4D6EA7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4D6EA7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WARUNKI PŁATNOŚCI</w:t>
      </w:r>
    </w:p>
    <w:p w:rsidR="007D216A" w:rsidRPr="00635863" w:rsidRDefault="007D216A" w:rsidP="004D6EA7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4D6EA7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4D6EA7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4D6EA7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4D6EA7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4D6EA7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4D6EA7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4D6EA7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4D6EA7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4D6EA7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4D6EA7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4D6EA7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4D6EA7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4D6EA7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4D6EA7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4D6EA7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4D6EA7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4D6EA7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4D6EA7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4D6EA7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F72E1E">
        <w:rPr>
          <w:rFonts w:ascii="Roboto" w:hAnsi="Roboto" w:cs="Arial"/>
          <w:b/>
          <w:sz w:val="22"/>
          <w:szCs w:val="22"/>
        </w:rPr>
        <w:t>27.06.</w:t>
      </w:r>
      <w:r w:rsidR="00EE0603">
        <w:rPr>
          <w:rFonts w:ascii="Roboto" w:hAnsi="Roboto" w:cs="Arial"/>
          <w:b/>
          <w:sz w:val="22"/>
          <w:szCs w:val="22"/>
        </w:rPr>
        <w:t>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4D6EA7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4D6EA7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4D6EA7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4D6EA7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4D6EA7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4D6EA7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4D6EA7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4D6EA7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4D6EA7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4D6EA7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4D6EA7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4D6EA7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4D6EA7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F00B53" w:rsidRDefault="00F00B53" w:rsidP="00F00B5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F00B53" w:rsidRDefault="00F00B53" w:rsidP="00F00B5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F00B53" w:rsidRDefault="00F00B53" w:rsidP="00F00B53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F00B53" w:rsidRDefault="00F00B53" w:rsidP="004D6EA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F00B53" w:rsidRDefault="00F00B53" w:rsidP="004D6EA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F00B53" w:rsidRDefault="00F00B53" w:rsidP="004D6EA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F00B53" w:rsidRDefault="00F00B53" w:rsidP="004D6EA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F00B53" w:rsidRDefault="00F00B53" w:rsidP="004D6EA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F00B53" w:rsidRDefault="00F00B53" w:rsidP="004D6EA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F00B53" w:rsidRDefault="00F00B53" w:rsidP="004D6EA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F00B53" w:rsidRDefault="00F00B53" w:rsidP="004D6EA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F00B53" w:rsidRDefault="00F00B53" w:rsidP="004D6EA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F00B53" w:rsidRDefault="00F00B53" w:rsidP="004D6EA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F00B53" w:rsidRDefault="00F00B53" w:rsidP="004D6EA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F00B53" w:rsidRPr="00413BEC" w:rsidRDefault="00F00B53" w:rsidP="004D6EA7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F00B53" w:rsidRDefault="00F00B53" w:rsidP="004D6EA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F00B53" w:rsidRDefault="00F00B53" w:rsidP="004D6EA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F00B53" w:rsidRDefault="00F00B53" w:rsidP="004D6EA7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F00B53" w:rsidRPr="00635863" w:rsidRDefault="00F00B53" w:rsidP="00F00B5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F00B53" w:rsidRPr="00635863" w:rsidRDefault="00F00B53" w:rsidP="00F00B5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F00B53" w:rsidRPr="00635863" w:rsidRDefault="00F00B53" w:rsidP="00F00B53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4D6EA7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4D6EA7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4D6EA7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4D6EA7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4D6EA7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4D6EA7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4D6EA7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4D6EA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4D6EA7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4D6EA7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 Zamawiający</w:t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</w:r>
      <w:r w:rsidRPr="00635863">
        <w:rPr>
          <w:rFonts w:ascii="Roboto" w:hAnsi="Roboto" w:cs="Arial"/>
          <w:bCs/>
          <w:sz w:val="22"/>
          <w:szCs w:val="22"/>
        </w:rPr>
        <w:tab/>
        <w:t xml:space="preserve">       Wykonawca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0C" w:rsidRDefault="009E520C" w:rsidP="00925065">
      <w:r>
        <w:separator/>
      </w:r>
    </w:p>
  </w:endnote>
  <w:endnote w:type="continuationSeparator" w:id="1">
    <w:p w:rsidR="009E520C" w:rsidRDefault="009E520C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262A0B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61686F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0C" w:rsidRDefault="009E520C" w:rsidP="00925065">
      <w:r>
        <w:separator/>
      </w:r>
    </w:p>
  </w:footnote>
  <w:footnote w:type="continuationSeparator" w:id="1">
    <w:p w:rsidR="009E520C" w:rsidRDefault="009E520C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56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2FD9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3AE7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325A"/>
    <w:rsid w:val="002317C9"/>
    <w:rsid w:val="00244141"/>
    <w:rsid w:val="00246AED"/>
    <w:rsid w:val="00246C41"/>
    <w:rsid w:val="00247715"/>
    <w:rsid w:val="00252C97"/>
    <w:rsid w:val="002622EC"/>
    <w:rsid w:val="00262A0B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5E64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535D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005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5F29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D6EA7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47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04A1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686F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4123"/>
    <w:rsid w:val="00784A5B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20C"/>
    <w:rsid w:val="009E5B9E"/>
    <w:rsid w:val="009F2B60"/>
    <w:rsid w:val="009F4429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B7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0B0F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D783D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968B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0B53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2E1E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C44C0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CF86-D7EA-403D-91ED-86B77D77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8900</Words>
  <Characters>53401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2025-02-26T11:25:00Z</dcterms:created>
  <dcterms:modified xsi:type="dcterms:W3CDTF">2025-02-26T18:45:00Z</dcterms:modified>
</cp:coreProperties>
</file>