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3D" w:rsidRDefault="00611D3D">
      <w:pPr>
        <w:spacing w:before="100" w:after="0"/>
        <w:ind w:left="4956" w:firstLine="708"/>
        <w:jc w:val="both"/>
        <w:rPr>
          <w:rFonts w:ascii="Times New Roman" w:hAnsi="Times New Roman" w:cs="Times New Roman"/>
          <w:color w:val="000000"/>
        </w:rPr>
      </w:pPr>
    </w:p>
    <w:p w:rsidR="00611D3D" w:rsidRDefault="00611D3D">
      <w:pPr>
        <w:spacing w:before="100"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Informacja dodatkowa - Korekta</w:t>
      </w:r>
    </w:p>
    <w:p w:rsidR="00611D3D" w:rsidRDefault="00611D3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"/>
        <w:gridCol w:w="8110"/>
      </w:tblGrid>
      <w:tr w:rsidR="00611D3D">
        <w:trPr>
          <w:trHeight w:val="51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Wprowadzenie do sprawozdania finansowego, obejmuje w szczególności:</w:t>
            </w:r>
          </w:p>
        </w:tc>
      </w:tr>
      <w:tr w:rsidR="00611D3D">
        <w:trPr>
          <w:trHeight w:val="51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bookmarkStart w:id="0" w:name="Tekst1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Szkoła Podstawowa  im. Norberta Przybylskiego w Smogulcu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611D3D">
        <w:trPr>
          <w:trHeight w:val="405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nazwę jednostki</w:t>
            </w:r>
          </w:p>
        </w:tc>
      </w:tr>
      <w:tr w:rsidR="00611D3D">
        <w:trPr>
          <w:trHeight w:val="675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Smogulec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0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siedzibę jednostki</w:t>
            </w:r>
          </w:p>
        </w:tc>
      </w:tr>
      <w:tr w:rsidR="00611D3D">
        <w:trPr>
          <w:trHeight w:val="66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Smogulec 13 ,  62-130 Gołańcz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0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 jednostki</w:t>
            </w:r>
          </w:p>
        </w:tc>
      </w:tr>
      <w:tr w:rsidR="00611D3D">
        <w:trPr>
          <w:trHeight w:val="66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Szkoła działa na podstawie statutu uchwalonego przez Radę Miasta i Gminy Gołańcz. Placówka realizuje zadania, o których mowa w ustawie z dnia 7 września 1991 r. o systemie oświaty (Dz. U. z 2004 r. Nr 256, poz. 2572 z późn. zm.). Celem jest zapewnienie do ogólnodostępego kształcenia, wychowania i opieki, w tym kształcenia specjalnego i profilaktyki społecznej.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0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podstawowy przedmiot działalności jednostki</w:t>
            </w:r>
          </w:p>
        </w:tc>
      </w:tr>
      <w:tr w:rsidR="00611D3D">
        <w:trPr>
          <w:trHeight w:val="66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od 01.01.2019 do 31.12.2019r.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0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wskazanie okresu objętego sprawozdaniem</w:t>
            </w:r>
          </w:p>
        </w:tc>
      </w:tr>
      <w:tr w:rsidR="00611D3D">
        <w:trPr>
          <w:trHeight w:val="66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nie dotyczy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502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10" w:type="dxa"/>
          </w:tcPr>
          <w:p w:rsidR="00611D3D" w:rsidRDefault="00611D3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wskazanie, że sprawozdanie finansowe zawiera dane łączne</w:t>
            </w:r>
          </w:p>
        </w:tc>
      </w:tr>
      <w:tr w:rsidR="00611D3D">
        <w:trPr>
          <w:trHeight w:val="66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Aktywa i pasywa jednostki wycenia się według zasad określonych w ustawie o rachunkowości oraz w przepisach szczególnych wydanych na podstawie ustawy o finansach publicznych. Środki trwałe oraz wartości niematerialne i prawne o wartości powyżej 10.000,00 zł podlegają amortyzacji z zastosowaniem liniowej lub degresywnej metody amortyzacji. Środki trwałe oraz wartości niematerialne i prawne o wartości poniżej 10.000,00 zł wprowadzane są do ewidencji bilansowej środków trwałych i umarzane jednorazowo w miesiącu przyjęcia ich do używania. Środki trwałe w budowie (inwestycje) wycenia się według kosztów poniesionych w okresie ich budowy, montażu lub ulepszenia już istniejacego środka trwałego. Jedynym składnikiem zapasów w jednostce są materiały wyceniane na dzień bilansowy według cen zakupu. Należności na dzień bilansowy wycenia się w wysokości wymagalnej zapłaty, a zobowiązania w kwocie wymagającej zapłaty. Pozostałe aktywa i pasywa wycenia się według wartości nominalnej.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omówienie przyjętych zasad (polityki) rachunkowości, w tym metod wyceny aktywów i pasywów (także amortyzacji)</w:t>
            </w:r>
          </w:p>
        </w:tc>
      </w:tr>
      <w:tr w:rsidR="00611D3D">
        <w:trPr>
          <w:trHeight w:val="66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W roku sprawozdawczym nie miały miejsca zmiany organizacyjne, nie został zmieniony przedmiot działalności ani nie przyjęto nowych zadań do realizacji.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0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informacje</w:t>
            </w:r>
          </w:p>
        </w:tc>
      </w:tr>
      <w:tr w:rsidR="00611D3D">
        <w:trPr>
          <w:trHeight w:val="66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51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Dodatkowe informacje i objaśnienia obejmują w szczególności:</w:t>
            </w:r>
          </w:p>
        </w:tc>
      </w:tr>
      <w:tr w:rsidR="00611D3D">
        <w:trPr>
          <w:trHeight w:val="30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Załącznik tabela nr 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12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RANGE_B22"/>
            <w:r>
              <w:rPr>
                <w:rFonts w:ascii="Times New Roman" w:hAnsi="Times New Roman" w:cs="Times New Roman"/>
                <w:sz w:val="22"/>
                <w:szCs w:val="22"/>
              </w:rPr>
      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- podobne przedstawienie stanów i tytułów zmian dotychczasowej amortyzacji lub umorzenia</w:t>
            </w:r>
            <w:bookmarkEnd w:id="1"/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Załącznik tabela nr 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46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OLE_LINK3"/>
            <w:bookmarkStart w:id="3" w:name="RANGE_B24"/>
            <w:r>
              <w:rPr>
                <w:rFonts w:ascii="Times New Roman" w:hAnsi="Times New Roman" w:cs="Times New Roman"/>
                <w:sz w:val="22"/>
                <w:szCs w:val="22"/>
              </w:rPr>
              <w:t>aktualną wartość rynkową środków trwałych, w tym dóbr kultury – o ile jednostka dysponuje takimi informacjami</w:t>
            </w:r>
            <w:bookmarkEnd w:id="2"/>
            <w:bookmarkEnd w:id="3"/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kwotę dokonanych w trakcie roku obrotowego odpisów aktualizujących wartość aktywów trwałych odrębnie dla długoterminowych aktywów niefinansowych oraz długoterminowych aktywów finansowych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1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gruntów użytkowanych wieczyście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nieamortyzowanych lub nieumarzanych przez jednostkę środków trwałych, używanych na podstawie umów najmu, dzierżawy i innych umów, w tym z tytułu umów leasingu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liczbę oraz wartość posiadanych papierów wartościowych, w tym akcji i udziałów oraz dłużnych papierów wartościowych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Załącznik tabela nr 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94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dane o odpisach aktualizujących wartość należności, ze wskazaniem stanu na początek roku 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dane o stanie rezerw według celu ich utworzenia na początek roku obrotowego, zwiększeniach, wykorzystaniu, rozwiązaniu i stanie końcowym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podział zobowiązań długoterminowych o pozostałym od dnia bilansowego, przewidywanym umową lub wynikającym z innego tytułu prawnego, okresie spłaty:</w:t>
            </w:r>
          </w:p>
        </w:tc>
      </w:tr>
      <w:tr w:rsidR="00611D3D">
        <w:trPr>
          <w:trHeight w:val="31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powyżej 1 roku do 3 lat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1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powyżej 3 do 5 lat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1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powyżej 5 lat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łączną kwotę zobowiązań zabezpieczonych na majątku jednostki ze wskazaniem charakteru i formy tych zabezpieczeń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94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94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1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łączną kwotę otrzymanych przez jednostkę gwarancji i poręczeń niewykazanych w bilansie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95 750,29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zł.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1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kwotę wypłaconych środków pieniężnych na świadczenia pracownicze 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0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1.16.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informacje</w:t>
            </w:r>
          </w:p>
        </w:tc>
      </w:tr>
      <w:tr w:rsidR="00611D3D">
        <w:trPr>
          <w:trHeight w:val="66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1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15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wysokość odpisów aktualizujących wartość zapasów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kwotę i charakter poszczególnych pozycji przychodów lub kosztów o nadzwyczajnej wartości lub które wystąpiły incydentalnie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30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informacje</w:t>
            </w:r>
          </w:p>
        </w:tc>
      </w:tr>
      <w:tr w:rsidR="00611D3D">
        <w:trPr>
          <w:trHeight w:val="660"/>
        </w:trPr>
        <w:tc>
          <w:tcPr>
            <w:tcW w:w="952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11D3D">
        <w:trPr>
          <w:trHeight w:val="63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informacje niż wymienione powyżej, jeżeli mogłyby w istotny sposób wpłynąć na ocenę sytuacji majątkowej i finansowej oraz wynik finansowy jednostki</w:t>
            </w:r>
          </w:p>
        </w:tc>
      </w:tr>
      <w:tr w:rsidR="00611D3D">
        <w:trPr>
          <w:trHeight w:val="660"/>
        </w:trPr>
        <w:tc>
          <w:tcPr>
            <w:tcW w:w="952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611D3D" w:rsidRDefault="00611D3D">
      <w:pPr>
        <w:jc w:val="both"/>
        <w:rPr>
          <w:rFonts w:ascii="Times New Roman" w:hAnsi="Times New Roman" w:cs="Times New Roman"/>
        </w:rPr>
      </w:pPr>
    </w:p>
    <w:p w:rsidR="00611D3D" w:rsidRDefault="00611D3D">
      <w:pPr>
        <w:jc w:val="both"/>
        <w:rPr>
          <w:rFonts w:ascii="Times New Roman" w:hAnsi="Times New Roman" w:cs="Times New Roman"/>
        </w:rPr>
      </w:pPr>
    </w:p>
    <w:tbl>
      <w:tblPr>
        <w:tblW w:w="850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3728"/>
        <w:gridCol w:w="2109"/>
      </w:tblGrid>
      <w:tr w:rsidR="00611D3D">
        <w:trPr>
          <w:trHeight w:val="14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</w:t>
            </w:r>
          </w:p>
        </w:tc>
      </w:tr>
      <w:tr w:rsidR="00611D3D">
        <w:trPr>
          <w:trHeight w:val="21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(główny księgowy)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3D" w:rsidRDefault="00611D3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(rok, miesiąc, dzień)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3D" w:rsidRDefault="00611D3D">
            <w:pPr>
              <w:ind w:left="12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(kierownik jednostki)</w:t>
            </w:r>
          </w:p>
        </w:tc>
      </w:tr>
    </w:tbl>
    <w:p w:rsidR="00611D3D" w:rsidRDefault="00611D3D">
      <w:pPr>
        <w:jc w:val="both"/>
        <w:rPr>
          <w:rFonts w:ascii="Times New Roman" w:hAnsi="Times New Roman" w:cs="Times New Roman"/>
        </w:rPr>
      </w:pPr>
    </w:p>
    <w:sectPr w:rsidR="00611D3D" w:rsidSect="00611D3D"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D3D"/>
    <w:rsid w:val="0061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Open Sans" w:hAnsi="Open Sans" w:cs="Open Sans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" w:eastAsia="Times New Roman" w:hAnsi="Open Sans" w:cs="Open Sans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993</Words>
  <Characters>5664</Characters>
  <Application>Microsoft Office Outlook</Application>
  <DocSecurity>0</DocSecurity>
  <Lines>0</Lines>
  <Paragraphs>0</Paragraphs>
  <ScaleCrop>false</ScaleCrop>
  <Company>Ministerstwo Finansów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 - Korekta</dc:title>
  <dc:subject/>
  <dc:creator>Stradowska Angelika</dc:creator>
  <cp:keywords/>
  <dc:description/>
  <cp:lastModifiedBy>xy</cp:lastModifiedBy>
  <cp:revision>2</cp:revision>
  <cp:lastPrinted>2020-03-20T06:30:00Z</cp:lastPrinted>
  <dcterms:created xsi:type="dcterms:W3CDTF">2020-05-07T11:06:00Z</dcterms:created>
  <dcterms:modified xsi:type="dcterms:W3CDTF">2020-05-07T11:06:00Z</dcterms:modified>
</cp:coreProperties>
</file>