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79BDFFE2" w:rsidR="00F11FB6" w:rsidRPr="00F23D8E" w:rsidRDefault="00787424" w:rsidP="00787424">
      <w:pPr>
        <w:spacing w:after="160" w:line="259" w:lineRule="auto"/>
        <w:ind w:left="0" w:right="0" w:firstLine="0"/>
        <w:jc w:val="center"/>
        <w:rPr>
          <w:rFonts w:asciiTheme="minorHAnsi" w:eastAsia="Calibri" w:hAnsiTheme="minorHAnsi" w:cstheme="minorHAnsi"/>
          <w:b/>
          <w:bCs/>
          <w:color w:val="auto"/>
          <w:sz w:val="22"/>
        </w:rPr>
      </w:pPr>
      <w:r>
        <w:rPr>
          <w:rFonts w:ascii="Calibri" w:eastAsia="Calibri" w:hAnsi="Calibri" w:cs="Times New Roman"/>
          <w:b/>
          <w:color w:val="auto"/>
          <w:sz w:val="22"/>
          <w:lang w:eastAsia="en-US"/>
        </w:rPr>
        <w:t>„</w:t>
      </w:r>
      <w:r w:rsidRPr="00787424">
        <w:rPr>
          <w:rFonts w:ascii="Calibri" w:eastAsia="Calibri" w:hAnsi="Calibri" w:cs="Times New Roman"/>
          <w:b/>
          <w:color w:val="auto"/>
          <w:sz w:val="22"/>
          <w:lang w:eastAsia="en-US"/>
        </w:rPr>
        <w:t>Dostawa kompletnych stanowisk symulatorów spawalniczych z wykorzystaniem technologii rozszerzonej rzeczywistości</w:t>
      </w:r>
      <w:r w:rsidR="00F11FB6" w:rsidRPr="00F23D8E">
        <w:rPr>
          <w:rFonts w:asciiTheme="minorHAnsi" w:eastAsia="Calibri" w:hAnsiTheme="minorHAnsi" w:cstheme="minorHAnsi"/>
          <w:b/>
          <w:bCs/>
          <w:color w:val="auto"/>
          <w:sz w:val="22"/>
        </w:rPr>
        <w:t>”</w:t>
      </w:r>
    </w:p>
    <w:p w14:paraId="32E952B3" w14:textId="71440C9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787424">
        <w:rPr>
          <w:rFonts w:ascii="Calibri" w:eastAsia="Calibri" w:hAnsi="Calibri" w:cs="Times New Roman"/>
          <w:color w:val="auto"/>
          <w:sz w:val="22"/>
          <w:lang w:eastAsia="en-US"/>
        </w:rPr>
        <w:t>5</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2E537AAD"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7466EF">
        <w:rPr>
          <w:rFonts w:ascii="Calibri" w:eastAsia="Calibri" w:hAnsi="Calibri" w:cs="Times New Roman"/>
          <w:color w:val="auto"/>
          <w:sz w:val="22"/>
          <w:lang w:eastAsia="en-US"/>
        </w:rPr>
        <w:t>9 czerwca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0C78FC23"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787424">
        <w:rPr>
          <w:rFonts w:ascii="Calibri" w:eastAsia="Calibri" w:hAnsi="Calibri" w:cs="Times New Roman"/>
          <w:b/>
          <w:bCs/>
          <w:color w:val="auto"/>
          <w:sz w:val="22"/>
          <w:lang w:eastAsia="en-US"/>
        </w:rPr>
        <w:t>5</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1050A92F"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4D78B3DE"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D735CC">
        <w:rPr>
          <w:rFonts w:asciiTheme="minorHAnsi" w:hAnsiTheme="minorHAnsi" w:cstheme="minorHAnsi"/>
          <w:sz w:val="22"/>
        </w:rPr>
        <w:t>finansowane z budżetu Powiatu Białostockiego.</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204A78E3" w:rsidR="00345FFB" w:rsidRPr="00887065" w:rsidRDefault="00D735CC">
      <w:pPr>
        <w:numPr>
          <w:ilvl w:val="1"/>
          <w:numId w:val="1"/>
        </w:numPr>
        <w:ind w:right="337" w:hanging="852"/>
        <w:rPr>
          <w:rFonts w:asciiTheme="minorHAnsi" w:hAnsiTheme="minorHAnsi" w:cstheme="minorHAnsi"/>
          <w:bCs/>
          <w:sz w:val="22"/>
        </w:rPr>
      </w:pPr>
      <w:r w:rsidRPr="00887065">
        <w:rPr>
          <w:rFonts w:asciiTheme="minorHAnsi" w:hAnsiTheme="minorHAnsi" w:cstheme="minorHAnsi"/>
          <w:bCs/>
          <w:sz w:val="22"/>
        </w:rPr>
        <w:t>Przedmiotem zamówienia jest dostawa dwóch kompletnych stanowisk symulatorów spawalniczych z wykorzystaniem technologii rozszerzonej rzeczywistości</w:t>
      </w:r>
      <w:r w:rsidR="009E7BAC" w:rsidRPr="00887065">
        <w:rPr>
          <w:rFonts w:asciiTheme="minorHAnsi" w:hAnsiTheme="minorHAnsi" w:cstheme="minorHAnsi"/>
          <w:bCs/>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lastRenderedPageBreak/>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2077AD66" w:rsidR="00E72423" w:rsidRPr="00E72423" w:rsidRDefault="00706EAA" w:rsidP="00E72423">
      <w:pPr>
        <w:ind w:left="718" w:right="337"/>
        <w:rPr>
          <w:rFonts w:asciiTheme="minorHAnsi" w:hAnsiTheme="minorHAnsi" w:cstheme="minorHAnsi"/>
          <w:bCs/>
          <w:sz w:val="22"/>
        </w:rPr>
      </w:pPr>
      <w:r w:rsidRPr="00706EAA">
        <w:rPr>
          <w:rFonts w:asciiTheme="minorHAnsi" w:hAnsiTheme="minorHAnsi" w:cstheme="minorHAnsi"/>
          <w:bCs/>
          <w:sz w:val="22"/>
        </w:rPr>
        <w:t>34152000-7 Symulatory szkoleniowe</w:t>
      </w:r>
    </w:p>
    <w:p w14:paraId="53B7E22B" w14:textId="527A9514" w:rsidR="008D0FDA" w:rsidRP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1B3D8CC7" w14:textId="6E973B6B" w:rsidR="004D5801" w:rsidRPr="00E72423" w:rsidRDefault="00706EAA">
      <w:pPr>
        <w:spacing w:after="17" w:line="259" w:lineRule="auto"/>
        <w:ind w:left="708" w:right="0" w:firstLine="0"/>
        <w:jc w:val="left"/>
        <w:rPr>
          <w:rFonts w:asciiTheme="minorHAnsi" w:hAnsiTheme="minorHAnsi" w:cstheme="minorHAnsi"/>
          <w:bCs/>
          <w:sz w:val="22"/>
        </w:rPr>
      </w:pPr>
      <w:r w:rsidRPr="00706EAA">
        <w:rPr>
          <w:rFonts w:asciiTheme="minorHAnsi" w:hAnsiTheme="minorHAnsi" w:cstheme="minorHAnsi"/>
          <w:bCs/>
          <w:sz w:val="22"/>
        </w:rPr>
        <w:t>43800000-1 Urządzenia warsztatowe</w:t>
      </w:r>
    </w:p>
    <w:p w14:paraId="2A467102" w14:textId="77777777" w:rsidR="00706EAA" w:rsidRDefault="00706EAA">
      <w:pPr>
        <w:ind w:left="718" w:right="337"/>
        <w:rPr>
          <w:rFonts w:asciiTheme="minorHAnsi" w:hAnsiTheme="minorHAnsi" w:cstheme="minorHAnsi"/>
          <w:sz w:val="22"/>
        </w:rPr>
      </w:pPr>
    </w:p>
    <w:p w14:paraId="4A568F6C" w14:textId="6B6A329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w:t>
      </w:r>
      <w:r w:rsidRPr="00A05C47">
        <w:rPr>
          <w:rFonts w:asciiTheme="minorHAnsi" w:hAnsiTheme="minorHAnsi" w:cstheme="minorHAnsi"/>
          <w:sz w:val="22"/>
        </w:rPr>
        <w:lastRenderedPageBreak/>
        <w:t>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2E8ABD34"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2C31F9">
        <w:rPr>
          <w:rFonts w:asciiTheme="minorHAnsi" w:hAnsiTheme="minorHAnsi" w:cstheme="minorHAnsi"/>
          <w:color w:val="auto"/>
          <w:sz w:val="22"/>
        </w:rPr>
        <w:t xml:space="preserve">do </w:t>
      </w:r>
      <w:r w:rsidR="002C31F9" w:rsidRPr="002C31F9">
        <w:rPr>
          <w:rFonts w:asciiTheme="minorHAnsi" w:hAnsiTheme="minorHAnsi" w:cstheme="minorHAnsi"/>
          <w:b/>
          <w:bCs/>
          <w:color w:val="auto"/>
          <w:sz w:val="22"/>
        </w:rPr>
        <w:t>1 miesiąca</w:t>
      </w:r>
      <w:r w:rsidR="00906A16" w:rsidRPr="002C31F9">
        <w:rPr>
          <w:rFonts w:asciiTheme="minorHAnsi" w:hAnsiTheme="minorHAnsi" w:cstheme="minorHAnsi"/>
          <w:b/>
          <w:bCs/>
          <w:color w:val="auto"/>
          <w:sz w:val="22"/>
        </w:rPr>
        <w:t xml:space="preserve"> od daty zawarcia umowy</w:t>
      </w:r>
      <w:r w:rsidR="00906A16" w:rsidRPr="002C31F9">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45044E38"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513987E5" w14:textId="560F4A2C" w:rsidR="007F7E7C" w:rsidRPr="00662AA6" w:rsidRDefault="007F7E7C" w:rsidP="00DB447B">
      <w:pPr>
        <w:numPr>
          <w:ilvl w:val="1"/>
          <w:numId w:val="1"/>
        </w:numPr>
        <w:spacing w:after="33" w:line="240" w:lineRule="auto"/>
        <w:ind w:right="337" w:hanging="852"/>
        <w:rPr>
          <w:rFonts w:asciiTheme="minorHAnsi" w:hAnsiTheme="minorHAnsi" w:cstheme="minorHAnsi"/>
          <w:sz w:val="22"/>
        </w:rPr>
      </w:pPr>
      <w:r w:rsidRPr="007F7E7C">
        <w:rPr>
          <w:rFonts w:asciiTheme="minorHAnsi" w:hAnsiTheme="minorHAnsi" w:cstheme="minorHAnsi"/>
          <w:bCs/>
          <w:sz w:val="22"/>
        </w:rPr>
        <w:t xml:space="preserve">Z postępowania o udzielenie zamówienia wyklucza się Wykonawcę stosunku do którego zachodzą okoliczności wskazane w art. 7 ust. 1 ustawy z dn. 13 kwietnia 2022 r. o szczególnych rozwiązaniach w zakresie przeciwdziałania wspieraniu agresji </w:t>
      </w:r>
      <w:r w:rsidRPr="007F7E7C">
        <w:rPr>
          <w:rFonts w:asciiTheme="minorHAnsi" w:hAnsiTheme="minorHAnsi" w:cstheme="minorHAnsi"/>
          <w:bCs/>
          <w:sz w:val="22"/>
        </w:rPr>
        <w:lastRenderedPageBreak/>
        <w:t>na Ukrainę oraz służących ochronie bezpieczeństwa narodowego (Dz. U. z 2022 r. poz. 835)</w:t>
      </w:r>
      <w:r>
        <w:rPr>
          <w:rFonts w:asciiTheme="minorHAnsi" w:hAnsiTheme="minorHAnsi" w:cstheme="minorHAnsi"/>
          <w:bCs/>
          <w:sz w:val="22"/>
        </w:rPr>
        <w:t>.</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w:t>
      </w:r>
      <w:r w:rsidRPr="00D6516E">
        <w:rPr>
          <w:rFonts w:asciiTheme="minorHAnsi" w:hAnsiTheme="minorHAnsi" w:cstheme="minorHAnsi"/>
          <w:sz w:val="22"/>
        </w:rPr>
        <w:lastRenderedPageBreak/>
        <w:t>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lastRenderedPageBreak/>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w:t>
      </w:r>
      <w:r w:rsidRPr="00A75FEF">
        <w:rPr>
          <w:rFonts w:asciiTheme="minorHAnsi" w:hAnsiTheme="minorHAnsi" w:cstheme="minorHAnsi"/>
          <w:sz w:val="22"/>
        </w:rPr>
        <w:lastRenderedPageBreak/>
        <w:t xml:space="preserve">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lastRenderedPageBreak/>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18FF710F" w:rsidR="00153B75" w:rsidRPr="00F3019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F3019F">
        <w:rPr>
          <w:rFonts w:asciiTheme="minorHAnsi" w:hAnsiTheme="minorHAnsi" w:cstheme="minorHAnsi"/>
          <w:bCs/>
          <w:sz w:val="22"/>
        </w:rPr>
        <w:t xml:space="preserve">dnia </w:t>
      </w:r>
      <w:r w:rsidR="003E7757" w:rsidRPr="003E7757">
        <w:rPr>
          <w:rFonts w:asciiTheme="minorHAnsi" w:hAnsiTheme="minorHAnsi" w:cstheme="minorHAnsi"/>
          <w:b/>
          <w:sz w:val="22"/>
        </w:rPr>
        <w:t>20.06</w:t>
      </w:r>
      <w:r w:rsidR="00501300" w:rsidRPr="003E7757">
        <w:rPr>
          <w:rFonts w:asciiTheme="minorHAnsi" w:hAnsiTheme="minorHAnsi" w:cstheme="minorHAnsi"/>
          <w:b/>
          <w:sz w:val="22"/>
        </w:rPr>
        <w:t>.2022</w:t>
      </w:r>
      <w:r w:rsidR="001875D6" w:rsidRPr="00F3019F">
        <w:rPr>
          <w:rFonts w:asciiTheme="minorHAnsi" w:hAnsiTheme="minorHAnsi" w:cstheme="minorHAnsi"/>
          <w:b/>
          <w:sz w:val="22"/>
        </w:rPr>
        <w:t xml:space="preserve"> r. do godz. </w:t>
      </w:r>
      <w:r w:rsidRPr="00F3019F">
        <w:rPr>
          <w:rFonts w:asciiTheme="minorHAnsi" w:hAnsiTheme="minorHAnsi" w:cstheme="minorHAnsi"/>
          <w:b/>
          <w:sz w:val="22"/>
        </w:rPr>
        <w:t>1</w:t>
      </w:r>
      <w:r w:rsidR="007466EF">
        <w:rPr>
          <w:rFonts w:asciiTheme="minorHAnsi" w:hAnsiTheme="minorHAnsi" w:cstheme="minorHAnsi"/>
          <w:b/>
          <w:sz w:val="22"/>
        </w:rPr>
        <w:t>1</w:t>
      </w:r>
      <w:r w:rsidR="001875D6" w:rsidRPr="00F3019F">
        <w:rPr>
          <w:rFonts w:asciiTheme="minorHAnsi" w:hAnsiTheme="minorHAnsi" w:cstheme="minorHAnsi"/>
          <w:b/>
          <w:sz w:val="22"/>
        </w:rPr>
        <w:t>:00</w:t>
      </w:r>
      <w:r w:rsidRPr="00F3019F">
        <w:rPr>
          <w:rFonts w:asciiTheme="minorHAnsi" w:hAnsiTheme="minorHAnsi" w:cstheme="minorHAnsi"/>
          <w:b/>
          <w:sz w:val="22"/>
        </w:rPr>
        <w:t>.</w:t>
      </w:r>
      <w:r w:rsidR="001875D6" w:rsidRPr="00F3019F">
        <w:rPr>
          <w:rFonts w:asciiTheme="minorHAnsi" w:hAnsiTheme="minorHAnsi" w:cstheme="minorHAnsi"/>
          <w:b/>
          <w:sz w:val="22"/>
        </w:rPr>
        <w:t xml:space="preserve"> </w:t>
      </w:r>
    </w:p>
    <w:p w14:paraId="34FCF679" w14:textId="52092CC6" w:rsidR="003E26D3" w:rsidRPr="00F3019F" w:rsidRDefault="003E26D3">
      <w:pPr>
        <w:numPr>
          <w:ilvl w:val="1"/>
          <w:numId w:val="1"/>
        </w:numPr>
        <w:spacing w:after="14" w:line="267" w:lineRule="auto"/>
        <w:ind w:right="337" w:hanging="852"/>
        <w:rPr>
          <w:rFonts w:asciiTheme="minorHAnsi" w:hAnsiTheme="minorHAnsi" w:cstheme="minorHAnsi"/>
          <w:bCs/>
          <w:sz w:val="22"/>
        </w:rPr>
      </w:pPr>
      <w:r w:rsidRPr="00F3019F">
        <w:rPr>
          <w:rFonts w:asciiTheme="minorHAnsi" w:hAnsiTheme="minorHAnsi" w:cstheme="minorHAnsi"/>
          <w:bCs/>
          <w:sz w:val="22"/>
        </w:rPr>
        <w:t xml:space="preserve">Otwarcie ofert nastąpi w dniu </w:t>
      </w:r>
      <w:r w:rsidR="003E7757" w:rsidRPr="003E7757">
        <w:rPr>
          <w:rFonts w:asciiTheme="minorHAnsi" w:hAnsiTheme="minorHAnsi" w:cstheme="minorHAnsi"/>
          <w:b/>
          <w:sz w:val="22"/>
        </w:rPr>
        <w:t>20.06</w:t>
      </w:r>
      <w:r w:rsidR="00501300" w:rsidRPr="003E7757">
        <w:rPr>
          <w:rFonts w:asciiTheme="minorHAnsi" w:hAnsiTheme="minorHAnsi" w:cstheme="minorHAnsi"/>
          <w:b/>
          <w:sz w:val="22"/>
        </w:rPr>
        <w:t>.</w:t>
      </w:r>
      <w:r w:rsidR="00501300" w:rsidRPr="00F3019F">
        <w:rPr>
          <w:rFonts w:asciiTheme="minorHAnsi" w:hAnsiTheme="minorHAnsi" w:cstheme="minorHAnsi"/>
          <w:b/>
          <w:bCs/>
          <w:sz w:val="22"/>
        </w:rPr>
        <w:t>2022</w:t>
      </w:r>
      <w:r w:rsidRPr="00F3019F">
        <w:rPr>
          <w:rFonts w:asciiTheme="minorHAnsi" w:hAnsiTheme="minorHAnsi" w:cstheme="minorHAnsi"/>
          <w:b/>
          <w:sz w:val="22"/>
        </w:rPr>
        <w:t xml:space="preserve"> r. o godzinie 1</w:t>
      </w:r>
      <w:r w:rsidR="007466EF">
        <w:rPr>
          <w:rFonts w:asciiTheme="minorHAnsi" w:hAnsiTheme="minorHAnsi" w:cstheme="minorHAnsi"/>
          <w:b/>
          <w:sz w:val="22"/>
        </w:rPr>
        <w:t>1</w:t>
      </w:r>
      <w:r w:rsidRPr="00F3019F">
        <w:rPr>
          <w:rFonts w:asciiTheme="minorHAnsi" w:hAnsiTheme="minorHAnsi" w:cstheme="minorHAnsi"/>
          <w:b/>
          <w:sz w:val="22"/>
        </w:rPr>
        <w:t>:</w:t>
      </w:r>
      <w:r w:rsidR="00907EFB" w:rsidRPr="00F3019F">
        <w:rPr>
          <w:rFonts w:asciiTheme="minorHAnsi" w:hAnsiTheme="minorHAnsi" w:cstheme="minorHAnsi"/>
          <w:b/>
          <w:sz w:val="22"/>
        </w:rPr>
        <w:t>15</w:t>
      </w:r>
      <w:r w:rsidRPr="00F3019F">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712D2E47" w:rsidR="00153B75" w:rsidRPr="00F3019F"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3E7757">
        <w:rPr>
          <w:rFonts w:asciiTheme="minorHAnsi" w:hAnsiTheme="minorHAnsi" w:cstheme="minorHAnsi"/>
          <w:b/>
          <w:sz w:val="22"/>
        </w:rPr>
        <w:t>19</w:t>
      </w:r>
      <w:r w:rsidR="00CF238E">
        <w:rPr>
          <w:rFonts w:asciiTheme="minorHAnsi" w:hAnsiTheme="minorHAnsi" w:cstheme="minorHAnsi"/>
          <w:b/>
          <w:sz w:val="22"/>
        </w:rPr>
        <w:t>.07</w:t>
      </w:r>
      <w:r w:rsidR="005D61C4" w:rsidRPr="00F3019F">
        <w:rPr>
          <w:rFonts w:asciiTheme="minorHAnsi" w:hAnsiTheme="minorHAnsi" w:cstheme="minorHAnsi"/>
          <w:b/>
          <w:sz w:val="22"/>
        </w:rPr>
        <w:t>.2022</w:t>
      </w:r>
      <w:r w:rsidR="004D518D" w:rsidRPr="00F3019F">
        <w:rPr>
          <w:rFonts w:asciiTheme="minorHAnsi" w:hAnsiTheme="minorHAnsi" w:cstheme="minorHAnsi"/>
          <w:b/>
          <w:sz w:val="22"/>
        </w:rPr>
        <w:t xml:space="preserve"> </w:t>
      </w:r>
      <w:r w:rsidR="003E26D3" w:rsidRPr="00F3019F">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w:t>
      </w:r>
      <w:r w:rsidRPr="008744B8">
        <w:rPr>
          <w:rFonts w:asciiTheme="minorHAnsi" w:hAnsiTheme="minorHAnsi" w:cstheme="minorHAnsi"/>
          <w:sz w:val="22"/>
        </w:rPr>
        <w:lastRenderedPageBreak/>
        <w:t xml:space="preserve">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5DF7D6BE"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2C31F9">
        <w:rPr>
          <w:rFonts w:ascii="Calibri" w:eastAsia="Calibri" w:hAnsi="Calibri" w:cs="Times New Roman"/>
          <w:color w:val="auto"/>
          <w:sz w:val="22"/>
          <w:lang w:eastAsia="en-US"/>
        </w:rPr>
        <w:t>24</w:t>
      </w:r>
      <w:r w:rsidR="00106C41" w:rsidRPr="00106C41">
        <w:rPr>
          <w:rFonts w:ascii="Calibri" w:eastAsia="Calibri" w:hAnsi="Calibri" w:cs="Times New Roman"/>
          <w:color w:val="auto"/>
          <w:sz w:val="22"/>
          <w:lang w:eastAsia="en-US"/>
        </w:rPr>
        <w:t xml:space="preserve">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2C31F9">
        <w:rPr>
          <w:rFonts w:ascii="Calibri" w:eastAsia="Calibri" w:hAnsi="Calibri" w:cs="Times New Roman"/>
          <w:color w:val="auto"/>
          <w:sz w:val="22"/>
          <w:lang w:eastAsia="en-US"/>
        </w:rPr>
        <w:t>24</w:t>
      </w:r>
      <w:r w:rsidRPr="00106C41">
        <w:rPr>
          <w:rFonts w:ascii="Calibri" w:eastAsia="Calibri" w:hAnsi="Calibri" w:cs="Times New Roman"/>
          <w:color w:val="auto"/>
          <w:sz w:val="22"/>
          <w:lang w:eastAsia="en-US"/>
        </w:rPr>
        <w:t xml:space="preserve"> miesięcy do </w:t>
      </w:r>
      <w:r w:rsidR="002C31F9">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w:t>
      </w:r>
    </w:p>
    <w:p w14:paraId="21CC10C9" w14:textId="543AE962"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2C31F9">
        <w:rPr>
          <w:rFonts w:ascii="Calibri" w:eastAsia="Calibri" w:hAnsi="Calibri" w:cs="Times New Roman"/>
          <w:color w:val="auto"/>
          <w:sz w:val="22"/>
          <w:lang w:eastAsia="en-US"/>
        </w:rPr>
        <w:t>24</w:t>
      </w:r>
      <w:r w:rsidR="00701474">
        <w:rPr>
          <w:rFonts w:ascii="Calibri" w:eastAsia="Calibri" w:hAnsi="Calibri" w:cs="Times New Roman"/>
          <w:color w:val="auto"/>
          <w:sz w:val="22"/>
          <w:lang w:eastAsia="en-US"/>
        </w:rPr>
        <w:t xml:space="preserve"> miesi</w:t>
      </w:r>
      <w:r w:rsidR="002C31F9">
        <w:rPr>
          <w:rFonts w:ascii="Calibri" w:eastAsia="Calibri" w:hAnsi="Calibri" w:cs="Times New Roman"/>
          <w:color w:val="auto"/>
          <w:sz w:val="22"/>
          <w:lang w:eastAsia="en-US"/>
        </w:rPr>
        <w:t>ące</w:t>
      </w:r>
      <w:r w:rsidRPr="00885806">
        <w:rPr>
          <w:rFonts w:ascii="Calibri" w:eastAsia="Calibri" w:hAnsi="Calibri" w:cs="Times New Roman"/>
          <w:color w:val="auto"/>
          <w:sz w:val="22"/>
          <w:lang w:eastAsia="en-US"/>
        </w:rPr>
        <w:t>.</w:t>
      </w:r>
    </w:p>
    <w:p w14:paraId="2CACA485" w14:textId="507DF9A4"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lastRenderedPageBreak/>
        <w:t xml:space="preserve">W przypadku zaoferowania przez Wykonawcę okresu gwarancji dłuższego niż </w:t>
      </w:r>
      <w:r w:rsidR="002C31F9">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w:t>
      </w:r>
      <w:r w:rsidR="002C31F9">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2C31F9">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 xml:space="preserve">Zgodnie z art. 13 ust. 1 i 2 rozporządzenia Parlamentu Europejskiego i Rady (UE) 2016/679 z dnia 27 kwietnia 2016 r. w sprawie ochrony osób fizycznych w związku z przetwarzaniem danych osobowych i </w:t>
      </w:r>
      <w:r w:rsidRPr="00D540EB">
        <w:rPr>
          <w:rFonts w:asciiTheme="minorHAnsi" w:eastAsia="Times New Roman" w:hAnsiTheme="minorHAnsi" w:cstheme="minorHAnsi"/>
          <w:sz w:val="22"/>
        </w:rPr>
        <w:lastRenderedPageBreak/>
        <w:t>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0" w:name="_Hlk61524748"/>
      <w:r w:rsidRPr="00D4741A">
        <w:rPr>
          <w:rFonts w:asciiTheme="minorHAnsi" w:eastAsia="Times New Roman" w:hAnsiTheme="minorHAnsi" w:cstheme="minorHAnsi"/>
          <w:sz w:val="22"/>
        </w:rPr>
        <w:t xml:space="preserve">Przysługuje Pani/Panu prawo wniesienia skargi do organu nadzorczego na niezgodne z RODO przetwarzanie Pani/Pana danych osobowych przez administratora. Organem właściwym dla </w:t>
      </w:r>
      <w:r w:rsidRPr="00D4741A">
        <w:rPr>
          <w:rFonts w:asciiTheme="minorHAnsi" w:eastAsia="Times New Roman" w:hAnsiTheme="minorHAnsi" w:cstheme="minorHAnsi"/>
          <w:sz w:val="22"/>
        </w:rPr>
        <w:lastRenderedPageBreak/>
        <w:t>przedmiotowej skargi jest Urząd Ochrony Danych Osobowych, ul. Stawki 2, 00-193 Warszawa.</w:t>
      </w:r>
    </w:p>
    <w:bookmarkEnd w:id="0"/>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194CEE29" w:rsidR="004D518D" w:rsidRDefault="004D518D" w:rsidP="00CF238E">
      <w:pPr>
        <w:spacing w:after="17" w:line="259" w:lineRule="auto"/>
        <w:ind w:left="566" w:right="0" w:firstLine="0"/>
      </w:pPr>
    </w:p>
    <w:sectPr w:rsidR="004D518D" w:rsidSect="0010587E">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0884" w14:textId="77777777" w:rsidR="00411B73" w:rsidRDefault="00411B73">
      <w:pPr>
        <w:spacing w:after="0" w:line="240" w:lineRule="auto"/>
      </w:pPr>
      <w:r>
        <w:separator/>
      </w:r>
    </w:p>
  </w:endnote>
  <w:endnote w:type="continuationSeparator" w:id="0">
    <w:p w14:paraId="0BE3B4B7" w14:textId="77777777" w:rsidR="00411B73" w:rsidRDefault="0041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14A6" w14:textId="77777777" w:rsidR="00411B73" w:rsidRDefault="00411B73">
      <w:pPr>
        <w:spacing w:after="0" w:line="259" w:lineRule="auto"/>
        <w:ind w:left="0" w:right="0" w:firstLine="0"/>
        <w:jc w:val="left"/>
      </w:pPr>
      <w:r>
        <w:separator/>
      </w:r>
    </w:p>
  </w:footnote>
  <w:footnote w:type="continuationSeparator" w:id="0">
    <w:p w14:paraId="1D38DA10" w14:textId="77777777" w:rsidR="00411B73" w:rsidRDefault="00411B73">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4"/>
  </w:num>
  <w:num w:numId="2" w16cid:durableId="595138299">
    <w:abstractNumId w:val="5"/>
  </w:num>
  <w:num w:numId="3" w16cid:durableId="112526748">
    <w:abstractNumId w:val="6"/>
  </w:num>
  <w:num w:numId="4" w16cid:durableId="842092315">
    <w:abstractNumId w:val="21"/>
  </w:num>
  <w:num w:numId="5" w16cid:durableId="493953439">
    <w:abstractNumId w:val="22"/>
  </w:num>
  <w:num w:numId="6" w16cid:durableId="217471728">
    <w:abstractNumId w:val="1"/>
  </w:num>
  <w:num w:numId="7" w16cid:durableId="438379442">
    <w:abstractNumId w:val="17"/>
  </w:num>
  <w:num w:numId="8" w16cid:durableId="706879986">
    <w:abstractNumId w:val="13"/>
  </w:num>
  <w:num w:numId="9" w16cid:durableId="1424688819">
    <w:abstractNumId w:val="16"/>
  </w:num>
  <w:num w:numId="10" w16cid:durableId="398015470">
    <w:abstractNumId w:val="23"/>
  </w:num>
  <w:num w:numId="11" w16cid:durableId="2030909633">
    <w:abstractNumId w:val="10"/>
  </w:num>
  <w:num w:numId="12" w16cid:durableId="1111164052">
    <w:abstractNumId w:val="26"/>
  </w:num>
  <w:num w:numId="13" w16cid:durableId="1233270310">
    <w:abstractNumId w:val="14"/>
  </w:num>
  <w:num w:numId="14" w16cid:durableId="1473399101">
    <w:abstractNumId w:val="27"/>
  </w:num>
  <w:num w:numId="15" w16cid:durableId="294258718">
    <w:abstractNumId w:val="2"/>
  </w:num>
  <w:num w:numId="16" w16cid:durableId="1757551871">
    <w:abstractNumId w:val="7"/>
  </w:num>
  <w:num w:numId="17" w16cid:durableId="616720128">
    <w:abstractNumId w:val="19"/>
  </w:num>
  <w:num w:numId="18" w16cid:durableId="984433907">
    <w:abstractNumId w:val="25"/>
  </w:num>
  <w:num w:numId="19" w16cid:durableId="1703356961">
    <w:abstractNumId w:val="9"/>
  </w:num>
  <w:num w:numId="20" w16cid:durableId="1574272007">
    <w:abstractNumId w:val="11"/>
  </w:num>
  <w:num w:numId="21" w16cid:durableId="1399160684">
    <w:abstractNumId w:val="8"/>
  </w:num>
  <w:num w:numId="22" w16cid:durableId="563948552">
    <w:abstractNumId w:val="4"/>
  </w:num>
  <w:num w:numId="23" w16cid:durableId="105318732">
    <w:abstractNumId w:val="15"/>
  </w:num>
  <w:num w:numId="24" w16cid:durableId="831915564">
    <w:abstractNumId w:val="0"/>
  </w:num>
  <w:num w:numId="25" w16cid:durableId="1680355194">
    <w:abstractNumId w:val="12"/>
  </w:num>
  <w:num w:numId="26" w16cid:durableId="1863860270">
    <w:abstractNumId w:val="18"/>
  </w:num>
  <w:num w:numId="27" w16cid:durableId="1181702640">
    <w:abstractNumId w:val="3"/>
  </w:num>
  <w:num w:numId="28" w16cid:durableId="13472501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A2641"/>
    <w:rsid w:val="000A7862"/>
    <w:rsid w:val="000B606B"/>
    <w:rsid w:val="000C33DC"/>
    <w:rsid w:val="000C4557"/>
    <w:rsid w:val="000C6D41"/>
    <w:rsid w:val="000D31D2"/>
    <w:rsid w:val="000D4867"/>
    <w:rsid w:val="000E4111"/>
    <w:rsid w:val="0010110B"/>
    <w:rsid w:val="0010587E"/>
    <w:rsid w:val="00106C41"/>
    <w:rsid w:val="00110E20"/>
    <w:rsid w:val="00117E6B"/>
    <w:rsid w:val="00124111"/>
    <w:rsid w:val="00131AE5"/>
    <w:rsid w:val="00144B8D"/>
    <w:rsid w:val="00153B75"/>
    <w:rsid w:val="00156FA6"/>
    <w:rsid w:val="00170C78"/>
    <w:rsid w:val="00175B21"/>
    <w:rsid w:val="00177F29"/>
    <w:rsid w:val="001875D6"/>
    <w:rsid w:val="00192D54"/>
    <w:rsid w:val="00193676"/>
    <w:rsid w:val="00193BAF"/>
    <w:rsid w:val="001951E9"/>
    <w:rsid w:val="00195832"/>
    <w:rsid w:val="001D4F2C"/>
    <w:rsid w:val="001E56B0"/>
    <w:rsid w:val="00212E0E"/>
    <w:rsid w:val="002411A3"/>
    <w:rsid w:val="002474E5"/>
    <w:rsid w:val="002516B5"/>
    <w:rsid w:val="00256F61"/>
    <w:rsid w:val="00260CC0"/>
    <w:rsid w:val="00270368"/>
    <w:rsid w:val="002773F4"/>
    <w:rsid w:val="00280D2E"/>
    <w:rsid w:val="002A1341"/>
    <w:rsid w:val="002A5551"/>
    <w:rsid w:val="002B6175"/>
    <w:rsid w:val="002C31F9"/>
    <w:rsid w:val="002E174A"/>
    <w:rsid w:val="002F4799"/>
    <w:rsid w:val="002F7DEE"/>
    <w:rsid w:val="00300C3B"/>
    <w:rsid w:val="00302C73"/>
    <w:rsid w:val="003041A1"/>
    <w:rsid w:val="0030791D"/>
    <w:rsid w:val="0031139D"/>
    <w:rsid w:val="003237A8"/>
    <w:rsid w:val="00323E69"/>
    <w:rsid w:val="0033394F"/>
    <w:rsid w:val="00342AE1"/>
    <w:rsid w:val="00345FFB"/>
    <w:rsid w:val="003501A7"/>
    <w:rsid w:val="00355238"/>
    <w:rsid w:val="0035613E"/>
    <w:rsid w:val="00363C12"/>
    <w:rsid w:val="0037162A"/>
    <w:rsid w:val="003725DA"/>
    <w:rsid w:val="00390E34"/>
    <w:rsid w:val="003967D4"/>
    <w:rsid w:val="003C6293"/>
    <w:rsid w:val="003D1581"/>
    <w:rsid w:val="003D3E83"/>
    <w:rsid w:val="003E0E2C"/>
    <w:rsid w:val="003E26D3"/>
    <w:rsid w:val="003E7757"/>
    <w:rsid w:val="00411B73"/>
    <w:rsid w:val="00415352"/>
    <w:rsid w:val="00422E43"/>
    <w:rsid w:val="00424E27"/>
    <w:rsid w:val="00432DB1"/>
    <w:rsid w:val="004362D5"/>
    <w:rsid w:val="004418B6"/>
    <w:rsid w:val="00464251"/>
    <w:rsid w:val="004649D4"/>
    <w:rsid w:val="00465B4D"/>
    <w:rsid w:val="004670E4"/>
    <w:rsid w:val="004678CE"/>
    <w:rsid w:val="00480644"/>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36D80"/>
    <w:rsid w:val="00553D90"/>
    <w:rsid w:val="00562011"/>
    <w:rsid w:val="00565E91"/>
    <w:rsid w:val="00574BE7"/>
    <w:rsid w:val="005761C9"/>
    <w:rsid w:val="00583724"/>
    <w:rsid w:val="00592613"/>
    <w:rsid w:val="005A01F3"/>
    <w:rsid w:val="005A5C15"/>
    <w:rsid w:val="005A78FC"/>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06EAA"/>
    <w:rsid w:val="007466EF"/>
    <w:rsid w:val="00750AF1"/>
    <w:rsid w:val="0075257A"/>
    <w:rsid w:val="00763CD2"/>
    <w:rsid w:val="00765946"/>
    <w:rsid w:val="007707A4"/>
    <w:rsid w:val="00782D36"/>
    <w:rsid w:val="00787424"/>
    <w:rsid w:val="0079104C"/>
    <w:rsid w:val="007955E1"/>
    <w:rsid w:val="007A48E0"/>
    <w:rsid w:val="007D2880"/>
    <w:rsid w:val="007D5756"/>
    <w:rsid w:val="007E5661"/>
    <w:rsid w:val="007E70CC"/>
    <w:rsid w:val="007F319B"/>
    <w:rsid w:val="007F38FB"/>
    <w:rsid w:val="007F6AA9"/>
    <w:rsid w:val="007F7E7C"/>
    <w:rsid w:val="00800996"/>
    <w:rsid w:val="00812370"/>
    <w:rsid w:val="00847323"/>
    <w:rsid w:val="00850AE1"/>
    <w:rsid w:val="00865B0E"/>
    <w:rsid w:val="008744B8"/>
    <w:rsid w:val="00876646"/>
    <w:rsid w:val="00885806"/>
    <w:rsid w:val="00886C10"/>
    <w:rsid w:val="00887065"/>
    <w:rsid w:val="00896E51"/>
    <w:rsid w:val="008A1DBB"/>
    <w:rsid w:val="008D0FDA"/>
    <w:rsid w:val="008F498A"/>
    <w:rsid w:val="008F5B4E"/>
    <w:rsid w:val="00906A16"/>
    <w:rsid w:val="00907EFB"/>
    <w:rsid w:val="0092051E"/>
    <w:rsid w:val="00940E68"/>
    <w:rsid w:val="00950B87"/>
    <w:rsid w:val="009669EF"/>
    <w:rsid w:val="009706A4"/>
    <w:rsid w:val="00970F72"/>
    <w:rsid w:val="0097123E"/>
    <w:rsid w:val="00990B07"/>
    <w:rsid w:val="0099451E"/>
    <w:rsid w:val="009A3D87"/>
    <w:rsid w:val="009D184D"/>
    <w:rsid w:val="009E2E70"/>
    <w:rsid w:val="009E5619"/>
    <w:rsid w:val="009E5C1A"/>
    <w:rsid w:val="009E7BAC"/>
    <w:rsid w:val="009F0DE5"/>
    <w:rsid w:val="00A04999"/>
    <w:rsid w:val="00A05C47"/>
    <w:rsid w:val="00A1285C"/>
    <w:rsid w:val="00A12F25"/>
    <w:rsid w:val="00A174D4"/>
    <w:rsid w:val="00A24D7E"/>
    <w:rsid w:val="00A348BC"/>
    <w:rsid w:val="00A41EB4"/>
    <w:rsid w:val="00A557EE"/>
    <w:rsid w:val="00A72356"/>
    <w:rsid w:val="00A75FEF"/>
    <w:rsid w:val="00A819A0"/>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75F96"/>
    <w:rsid w:val="00B90B83"/>
    <w:rsid w:val="00BA1060"/>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37DF2"/>
    <w:rsid w:val="00C46DB5"/>
    <w:rsid w:val="00C53EBA"/>
    <w:rsid w:val="00C56B5E"/>
    <w:rsid w:val="00C66767"/>
    <w:rsid w:val="00C7233D"/>
    <w:rsid w:val="00C7263F"/>
    <w:rsid w:val="00C73945"/>
    <w:rsid w:val="00C7594C"/>
    <w:rsid w:val="00C84BA1"/>
    <w:rsid w:val="00C96F93"/>
    <w:rsid w:val="00CB34DE"/>
    <w:rsid w:val="00CB710D"/>
    <w:rsid w:val="00CE1109"/>
    <w:rsid w:val="00CE18E3"/>
    <w:rsid w:val="00CE443F"/>
    <w:rsid w:val="00CF06C7"/>
    <w:rsid w:val="00CF238E"/>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35CC"/>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25D7E"/>
    <w:rsid w:val="00F26139"/>
    <w:rsid w:val="00F3019F"/>
    <w:rsid w:val="00F37B63"/>
    <w:rsid w:val="00F41D57"/>
    <w:rsid w:val="00F52D73"/>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5162</Words>
  <Characters>30978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88</cp:revision>
  <dcterms:created xsi:type="dcterms:W3CDTF">2021-06-11T06:29:00Z</dcterms:created>
  <dcterms:modified xsi:type="dcterms:W3CDTF">2022-06-09T06:06:00Z</dcterms:modified>
</cp:coreProperties>
</file>