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2E05D473" w:rsidR="00F11FB6" w:rsidRPr="00F23D8E" w:rsidRDefault="00F11FB6" w:rsidP="00F11FB6">
      <w:pPr>
        <w:spacing w:after="160" w:line="259" w:lineRule="auto"/>
        <w:ind w:left="0" w:right="0" w:firstLine="0"/>
        <w:jc w:val="center"/>
        <w:rPr>
          <w:rFonts w:asciiTheme="minorHAnsi" w:eastAsia="Calibri" w:hAnsiTheme="minorHAnsi" w:cstheme="minorHAnsi"/>
          <w:b/>
          <w:bCs/>
          <w:color w:val="auto"/>
          <w:sz w:val="22"/>
        </w:rPr>
      </w:pPr>
      <w:r w:rsidRPr="00F11FB6">
        <w:rPr>
          <w:rFonts w:ascii="Calibri" w:eastAsia="Calibri" w:hAnsi="Calibri" w:cs="Times New Roman"/>
          <w:b/>
          <w:color w:val="auto"/>
          <w:sz w:val="22"/>
          <w:lang w:eastAsia="en-US"/>
        </w:rPr>
        <w:t>„</w:t>
      </w:r>
      <w:r w:rsidR="00F92D5D">
        <w:rPr>
          <w:rFonts w:ascii="Calibri" w:eastAsia="Calibri" w:hAnsi="Calibri" w:cs="Times New Roman"/>
          <w:b/>
          <w:color w:val="auto"/>
          <w:sz w:val="22"/>
          <w:lang w:eastAsia="en-US"/>
        </w:rPr>
        <w:t>D</w:t>
      </w:r>
      <w:r w:rsidR="00F92D5D" w:rsidRPr="00F92D5D">
        <w:rPr>
          <w:rFonts w:asciiTheme="minorHAnsi" w:eastAsia="Calibri" w:hAnsiTheme="minorHAnsi" w:cstheme="minorHAnsi"/>
          <w:b/>
          <w:bCs/>
          <w:color w:val="auto"/>
          <w:sz w:val="22"/>
          <w:lang w:eastAsia="en-US"/>
        </w:rPr>
        <w:t>ostawa fabrycznie nowych ciągników w ilości 2 szt. wraz z osprzętem</w:t>
      </w:r>
      <w:r w:rsidRPr="00F23D8E">
        <w:rPr>
          <w:rFonts w:asciiTheme="minorHAnsi" w:eastAsia="Calibri" w:hAnsiTheme="minorHAnsi" w:cstheme="minorHAnsi"/>
          <w:b/>
          <w:bCs/>
          <w:color w:val="auto"/>
          <w:sz w:val="22"/>
        </w:rPr>
        <w:t>”</w:t>
      </w:r>
    </w:p>
    <w:p w14:paraId="32E952B3" w14:textId="66E34DF4"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26.1.2021)</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19ED3AFA"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355238">
        <w:rPr>
          <w:rFonts w:ascii="Calibri" w:eastAsia="Calibri" w:hAnsi="Calibri" w:cs="Times New Roman"/>
          <w:color w:val="auto"/>
          <w:sz w:val="22"/>
          <w:lang w:eastAsia="en-US"/>
        </w:rPr>
        <w:t>24 sierpnia</w:t>
      </w:r>
      <w:r w:rsidR="006E55F6">
        <w:rPr>
          <w:rFonts w:ascii="Calibri" w:eastAsia="Calibri" w:hAnsi="Calibri" w:cs="Times New Roman"/>
          <w:color w:val="auto"/>
          <w:sz w:val="22"/>
          <w:lang w:eastAsia="en-US"/>
        </w:rPr>
        <w:t xml:space="preserve"> </w:t>
      </w:r>
      <w:r w:rsidR="006E55F6" w:rsidRPr="00F11FB6">
        <w:rPr>
          <w:rFonts w:ascii="Calibri" w:eastAsia="Calibri" w:hAnsi="Calibri" w:cs="Times New Roman"/>
          <w:color w:val="auto"/>
          <w:sz w:val="22"/>
          <w:lang w:eastAsia="en-US"/>
        </w:rPr>
        <w:t>202</w:t>
      </w:r>
      <w:r w:rsidR="006E55F6">
        <w:rPr>
          <w:rFonts w:ascii="Calibri" w:eastAsia="Calibri" w:hAnsi="Calibri" w:cs="Times New Roman"/>
          <w:color w:val="auto"/>
          <w:sz w:val="22"/>
          <w:lang w:eastAsia="en-US"/>
        </w:rPr>
        <w:t>1</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1955B86F"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26.1.2021</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6062B8D7" w14:textId="77777777" w:rsidR="00153B75" w:rsidRPr="00B07260" w:rsidRDefault="001875D6">
      <w:pPr>
        <w:numPr>
          <w:ilvl w:val="1"/>
          <w:numId w:val="1"/>
        </w:numPr>
        <w:ind w:right="337" w:hanging="852"/>
        <w:rPr>
          <w:rFonts w:asciiTheme="minorHAnsi" w:hAnsiTheme="minorHAnsi" w:cstheme="minorHAnsi"/>
          <w:sz w:val="22"/>
        </w:rPr>
      </w:pPr>
      <w:r w:rsidRPr="00B07260">
        <w:rPr>
          <w:rFonts w:asciiTheme="minorHAnsi" w:hAnsiTheme="minorHAnsi" w:cstheme="minorHAnsi"/>
          <w:sz w:val="22"/>
        </w:rPr>
        <w:t xml:space="preserve">Przedmiotem zamówienia jest:  </w:t>
      </w:r>
    </w:p>
    <w:p w14:paraId="4659F58F" w14:textId="0082D857" w:rsidR="00AD01D9" w:rsidRPr="00AD01D9" w:rsidRDefault="003501A7" w:rsidP="00AD01D9">
      <w:pPr>
        <w:spacing w:after="14" w:line="267" w:lineRule="auto"/>
        <w:ind w:left="706" w:right="335" w:firstLine="2"/>
        <w:rPr>
          <w:rFonts w:asciiTheme="minorHAnsi" w:hAnsiTheme="minorHAnsi" w:cstheme="minorHAnsi"/>
          <w:bCs/>
          <w:color w:val="auto"/>
          <w:sz w:val="22"/>
        </w:rPr>
      </w:pPr>
      <w:r>
        <w:rPr>
          <w:rFonts w:asciiTheme="minorHAnsi" w:hAnsiTheme="minorHAnsi" w:cstheme="minorHAnsi"/>
          <w:b/>
          <w:bCs/>
          <w:color w:val="auto"/>
          <w:sz w:val="22"/>
        </w:rPr>
        <w:t>D</w:t>
      </w:r>
      <w:r w:rsidRPr="003501A7">
        <w:rPr>
          <w:rFonts w:asciiTheme="minorHAnsi" w:hAnsiTheme="minorHAnsi" w:cstheme="minorHAnsi"/>
          <w:b/>
          <w:bCs/>
          <w:color w:val="auto"/>
          <w:sz w:val="22"/>
        </w:rPr>
        <w:t xml:space="preserve">ostawa fabrycznie nowych ciągników w ilości 2 szt. wraz z osprzętem, rok produkcji </w:t>
      </w:r>
      <w:r>
        <w:rPr>
          <w:rFonts w:asciiTheme="minorHAnsi" w:hAnsiTheme="minorHAnsi" w:cstheme="minorHAnsi"/>
          <w:b/>
          <w:bCs/>
          <w:color w:val="auto"/>
          <w:sz w:val="22"/>
        </w:rPr>
        <w:t xml:space="preserve">    </w:t>
      </w:r>
      <w:r w:rsidRPr="003501A7">
        <w:rPr>
          <w:rFonts w:asciiTheme="minorHAnsi" w:hAnsiTheme="minorHAnsi" w:cstheme="minorHAnsi"/>
          <w:b/>
          <w:bCs/>
          <w:color w:val="auto"/>
          <w:sz w:val="22"/>
        </w:rPr>
        <w:t>2021 r.</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6F4042B5" w14:textId="77777777" w:rsidR="00153B75" w:rsidRPr="00EE37FF" w:rsidRDefault="001875D6" w:rsidP="003501A7">
      <w:pPr>
        <w:spacing w:after="17" w:line="259" w:lineRule="auto"/>
        <w:ind w:left="706" w:right="0" w:firstLine="0"/>
        <w:rPr>
          <w:rFonts w:asciiTheme="minorHAnsi" w:hAnsiTheme="minorHAnsi" w:cstheme="minorHAnsi"/>
          <w:sz w:val="22"/>
        </w:rPr>
      </w:pPr>
      <w:r w:rsidRPr="00EE37FF">
        <w:rPr>
          <w:rFonts w:asciiTheme="minorHAnsi" w:hAnsiTheme="minorHAnsi" w:cstheme="minorHAnsi"/>
          <w:sz w:val="22"/>
        </w:rPr>
        <w:t xml:space="preserve">Nie dokonano podziału zamówienia na części z powodu: Zamówienie </w:t>
      </w:r>
      <w:r w:rsidR="00940E68">
        <w:rPr>
          <w:rFonts w:asciiTheme="minorHAnsi" w:hAnsiTheme="minorHAnsi" w:cstheme="minorHAnsi"/>
          <w:sz w:val="22"/>
        </w:rPr>
        <w:t xml:space="preserve">jest </w:t>
      </w:r>
      <w:r w:rsidRPr="00EE37FF">
        <w:rPr>
          <w:rFonts w:asciiTheme="minorHAnsi" w:hAnsiTheme="minorHAnsi" w:cstheme="minorHAnsi"/>
          <w:sz w:val="22"/>
        </w:rPr>
        <w:t>przedsięwzięciem o małym stopniu skomplikowania</w:t>
      </w:r>
      <w:r w:rsidR="00940E68">
        <w:rPr>
          <w:rFonts w:asciiTheme="minorHAnsi" w:hAnsiTheme="minorHAnsi" w:cstheme="minorHAnsi"/>
          <w:sz w:val="22"/>
        </w:rPr>
        <w:t xml:space="preserve"> i niedużej wartości szacunkowej</w:t>
      </w:r>
      <w:r w:rsidRPr="00EE37FF">
        <w:rPr>
          <w:rFonts w:asciiTheme="minorHAnsi" w:hAnsiTheme="minorHAnsi" w:cstheme="minorHAnsi"/>
          <w:sz w:val="22"/>
        </w:rPr>
        <w:t>. Zgodnie z dokonaną analizą jest zamówieniem dostępnym dla małych i średnich przedsiębiorców.</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4064A9A8" w:rsidR="00E72423" w:rsidRPr="00E72423" w:rsidRDefault="00650C5F" w:rsidP="00E72423">
      <w:pPr>
        <w:ind w:left="718" w:right="337"/>
        <w:rPr>
          <w:rFonts w:asciiTheme="minorHAnsi" w:hAnsiTheme="minorHAnsi" w:cstheme="minorHAnsi"/>
          <w:bCs/>
          <w:sz w:val="22"/>
        </w:rPr>
      </w:pPr>
      <w:r w:rsidRPr="00650C5F">
        <w:rPr>
          <w:rFonts w:asciiTheme="minorHAnsi" w:hAnsiTheme="minorHAnsi" w:cstheme="minorHAnsi"/>
          <w:bCs/>
          <w:sz w:val="22"/>
        </w:rPr>
        <w:t>16700000-2 Ciągniki</w:t>
      </w:r>
    </w:p>
    <w:p w14:paraId="53B7E22B" w14:textId="77777777" w:rsidR="008D0FDA" w:rsidRPr="008D0FDA" w:rsidRDefault="001875D6" w:rsidP="00E72423">
      <w:pPr>
        <w:ind w:left="718" w:right="337"/>
        <w:rPr>
          <w:rFonts w:asciiTheme="minorHAnsi" w:hAnsiTheme="minorHAnsi" w:cstheme="minorHAnsi"/>
          <w:sz w:val="22"/>
        </w:rPr>
      </w:pPr>
      <w:r w:rsidRPr="008D0FDA">
        <w:rPr>
          <w:rFonts w:asciiTheme="minorHAnsi" w:hAnsiTheme="minorHAnsi" w:cstheme="minorHAnsi"/>
          <w:bCs/>
          <w:sz w:val="22"/>
        </w:rPr>
        <w:t xml:space="preserve"> </w:t>
      </w:r>
      <w:r w:rsidR="008D0FDA" w:rsidRPr="008D0FDA">
        <w:rPr>
          <w:rFonts w:asciiTheme="minorHAnsi" w:hAnsiTheme="minorHAnsi" w:cstheme="minorHAnsi"/>
          <w:sz w:val="22"/>
        </w:rPr>
        <w:t>b) Pozostałe kody:</w:t>
      </w:r>
    </w:p>
    <w:p w14:paraId="1A6FB3EF" w14:textId="330E515E" w:rsidR="00E72423" w:rsidRDefault="00617122">
      <w:pPr>
        <w:spacing w:after="17" w:line="259" w:lineRule="auto"/>
        <w:ind w:left="708" w:right="0" w:firstLine="0"/>
        <w:jc w:val="left"/>
        <w:rPr>
          <w:rFonts w:asciiTheme="minorHAnsi" w:hAnsiTheme="minorHAnsi" w:cstheme="minorHAnsi"/>
          <w:bCs/>
          <w:sz w:val="22"/>
        </w:rPr>
      </w:pPr>
      <w:r>
        <w:rPr>
          <w:rFonts w:asciiTheme="minorHAnsi" w:hAnsiTheme="minorHAnsi" w:cstheme="minorHAnsi"/>
          <w:bCs/>
          <w:sz w:val="22"/>
        </w:rPr>
        <w:t>------------------------------</w:t>
      </w:r>
    </w:p>
    <w:p w14:paraId="61A96645" w14:textId="77777777" w:rsidR="00617122" w:rsidRPr="00E72423" w:rsidRDefault="00617122">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wyznaczonym akceptuje inne odpowiednie przedmiotowe środki dowodowe, w szczególności dokumentację techniczną producenta, o ile dany wykonawca udowodni, że roboty budowlane, dostawy lub usługi, które mają zostać przez niego </w:t>
      </w:r>
      <w:r w:rsidR="00486C25" w:rsidRPr="00486C25">
        <w:rPr>
          <w:rFonts w:asciiTheme="minorHAnsi" w:hAnsiTheme="minorHAnsi" w:cstheme="minorHAnsi"/>
          <w:sz w:val="22"/>
        </w:rPr>
        <w:lastRenderedPageBreak/>
        <w:t>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3023EC5F" w14:textId="2C378A0F" w:rsidR="007D5756" w:rsidRPr="007D5756"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 </w:t>
      </w:r>
      <w:r w:rsidRPr="007D5756">
        <w:rPr>
          <w:rFonts w:asciiTheme="minorHAnsi" w:hAnsiTheme="minorHAnsi" w:cstheme="minorHAnsi"/>
          <w:b/>
          <w:bCs/>
          <w:color w:val="auto"/>
          <w:sz w:val="22"/>
        </w:rPr>
        <w:t xml:space="preserve">terminie </w:t>
      </w:r>
      <w:r w:rsidR="00C46DB5">
        <w:rPr>
          <w:rFonts w:asciiTheme="minorHAnsi" w:hAnsiTheme="minorHAnsi" w:cstheme="minorHAnsi"/>
          <w:b/>
          <w:bCs/>
          <w:color w:val="auto"/>
          <w:sz w:val="22"/>
        </w:rPr>
        <w:t>4 miesięcy od daty zawarcia umowy.</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4949E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r w:rsidR="00C46DB5" w:rsidRPr="00C46DB5">
        <w:rPr>
          <w:rFonts w:asciiTheme="minorHAnsi" w:hAnsiTheme="minorHAnsi" w:cstheme="minorHAnsi"/>
          <w:i/>
          <w:sz w:val="22"/>
        </w:rPr>
        <w:t>„Nie dotyczy”</w:t>
      </w:r>
    </w:p>
    <w:p w14:paraId="22A61F55" w14:textId="77777777" w:rsidR="00C46DB5" w:rsidRPr="00B1411C" w:rsidRDefault="00C46DB5" w:rsidP="00C46DB5">
      <w:pPr>
        <w:spacing w:after="14" w:line="267" w:lineRule="auto"/>
        <w:ind w:left="113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77777777"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FC3883F"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C46DB5" w:rsidRPr="00C46DB5">
        <w:rPr>
          <w:rFonts w:asciiTheme="minorHAnsi" w:hAnsiTheme="minorHAnsi" w:cstheme="minorHAnsi"/>
          <w:b/>
          <w:bCs/>
          <w:sz w:val="22"/>
        </w:rPr>
        <w:t>nie</w:t>
      </w:r>
      <w:r w:rsidR="00C46DB5">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73666691"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46DB5">
        <w:rPr>
          <w:rFonts w:asciiTheme="minorHAnsi" w:hAnsiTheme="minorHAnsi" w:cstheme="minorHAnsi"/>
          <w:sz w:val="22"/>
        </w:rPr>
        <w:t xml:space="preserve"> „Nie dotyczy”</w:t>
      </w:r>
    </w:p>
    <w:p w14:paraId="0ED5F6E9" w14:textId="1B34DA83" w:rsidR="009E2E70" w:rsidRPr="00C46DB5" w:rsidRDefault="001875D6"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 </w:t>
      </w:r>
      <w:r w:rsidR="009E2E70" w:rsidRPr="00C46DB5">
        <w:rPr>
          <w:rFonts w:asciiTheme="minorHAnsi" w:hAnsiTheme="minorHAnsi" w:cstheme="minorHAnsi"/>
          <w:sz w:val="22"/>
        </w:rPr>
        <w:t xml:space="preserve">W celu potwierdzenia spełniania przez Wykonawcę </w:t>
      </w:r>
      <w:r w:rsidR="009E2E70" w:rsidRPr="00C46DB5">
        <w:rPr>
          <w:rFonts w:asciiTheme="minorHAnsi" w:hAnsiTheme="minorHAnsi" w:cstheme="minorHAnsi"/>
          <w:b/>
          <w:bCs/>
          <w:sz w:val="22"/>
        </w:rPr>
        <w:t>warunków udziału w postępowaniu</w:t>
      </w:r>
      <w:r w:rsidR="009E2E70" w:rsidRPr="00C46DB5">
        <w:rPr>
          <w:rFonts w:asciiTheme="minorHAnsi" w:hAnsiTheme="minorHAnsi" w:cstheme="minorHAnsi"/>
          <w:sz w:val="22"/>
        </w:rPr>
        <w:t xml:space="preserve"> Wykonawca będzie zobowiązany przedłożyć:</w:t>
      </w:r>
      <w:r w:rsidR="00C46DB5">
        <w:rPr>
          <w:rFonts w:asciiTheme="minorHAnsi" w:hAnsiTheme="minorHAnsi" w:cstheme="minorHAnsi"/>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lastRenderedPageBreak/>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33C9128D"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5B13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500DE724"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7AF1FB3D"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w:t>
      </w:r>
      <w:r w:rsidRPr="00DF15E4">
        <w:rPr>
          <w:rFonts w:asciiTheme="minorHAnsi" w:hAnsiTheme="minorHAnsi" w:cstheme="minorHAnsi"/>
          <w:sz w:val="22"/>
        </w:rPr>
        <w:lastRenderedPageBreak/>
        <w:t xml:space="preserve">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58FE94E" w14:textId="77777777" w:rsidR="00153B75" w:rsidRDefault="00153B75">
      <w:pPr>
        <w:spacing w:after="27" w:line="259" w:lineRule="auto"/>
        <w:ind w:left="0" w:right="0" w:firstLine="0"/>
        <w:jc w:val="left"/>
      </w:pPr>
    </w:p>
    <w:p w14:paraId="67BF00B9" w14:textId="77777777" w:rsidR="00110E20" w:rsidRDefault="00110E20">
      <w:pPr>
        <w:spacing w:after="27" w:line="259" w:lineRule="auto"/>
        <w:ind w:left="0" w:right="0" w:firstLine="0"/>
        <w:jc w:val="left"/>
      </w:pP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7777777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77777777"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Dz.U. z 2020 poz. 346 ze zm.);</w:t>
      </w:r>
    </w:p>
    <w:p w14:paraId="6057820C" w14:textId="77777777"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w:t>
      </w:r>
      <w:r w:rsidR="00086FB8" w:rsidRPr="00086FB8">
        <w:rPr>
          <w:rFonts w:asciiTheme="minorHAnsi" w:hAnsiTheme="minorHAnsi" w:cstheme="minorHAnsi"/>
          <w:sz w:val="22"/>
        </w:rPr>
        <w:lastRenderedPageBreak/>
        <w:t>ustawy z dnia 17 lutego 2005 r. o informatyzacji działalności podmiotów realizujących zadania publiczne (t.j.: Dz.U. z 2020 poz. 346 ze zm.)</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689AD65"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6A4EDD">
        <w:rPr>
          <w:rFonts w:asciiTheme="minorHAnsi" w:hAnsiTheme="minorHAnsi" w:cstheme="minorHAnsi"/>
          <w:sz w:val="22"/>
        </w:rPr>
        <w:t>:</w:t>
      </w:r>
    </w:p>
    <w:p w14:paraId="1ACDEF02" w14:textId="00E50F69" w:rsidR="006A4EDD" w:rsidRPr="006A4EDD" w:rsidRDefault="006A4EDD" w:rsidP="006A4EDD">
      <w:pPr>
        <w:pStyle w:val="Akapitzlist"/>
        <w:numPr>
          <w:ilvl w:val="0"/>
          <w:numId w:val="25"/>
        </w:numPr>
        <w:ind w:right="337"/>
        <w:rPr>
          <w:rFonts w:asciiTheme="minorHAnsi" w:hAnsiTheme="minorHAnsi" w:cstheme="minorHAnsi"/>
          <w:sz w:val="22"/>
        </w:rPr>
      </w:pPr>
      <w:r w:rsidRPr="006A4EDD">
        <w:rPr>
          <w:rFonts w:asciiTheme="minorHAnsi" w:hAnsiTheme="minorHAnsi" w:cstheme="minorHAnsi"/>
          <w:b/>
          <w:sz w:val="22"/>
        </w:rPr>
        <w:t>Opis parametrów technicznych i użytkowych oferowanych produktów</w:t>
      </w:r>
      <w:r>
        <w:rPr>
          <w:rFonts w:asciiTheme="minorHAnsi" w:hAnsiTheme="minorHAnsi" w:cstheme="minorHAnsi"/>
          <w:b/>
          <w:sz w:val="22"/>
        </w:rPr>
        <w:t xml:space="preserve"> (Wzór – Załącznik nr 6 do SWZ)</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 xml:space="preserve">przekazuje cyfrowe odwzorowanie tych </w:t>
      </w:r>
      <w:r w:rsidRPr="00256F61">
        <w:rPr>
          <w:rFonts w:asciiTheme="minorHAnsi" w:hAnsiTheme="minorHAnsi" w:cstheme="minorHAnsi"/>
          <w:b/>
          <w:sz w:val="22"/>
        </w:rPr>
        <w:lastRenderedPageBreak/>
        <w:t>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27E1E0F2" w:rsidR="00153B75" w:rsidRPr="004D518D"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lastRenderedPageBreak/>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4D518D">
        <w:rPr>
          <w:rFonts w:asciiTheme="minorHAnsi" w:hAnsiTheme="minorHAnsi" w:cstheme="minorHAnsi"/>
          <w:bCs/>
          <w:sz w:val="22"/>
        </w:rPr>
        <w:t xml:space="preserve">dnia </w:t>
      </w:r>
      <w:r w:rsidR="00D5442F">
        <w:rPr>
          <w:rFonts w:asciiTheme="minorHAnsi" w:hAnsiTheme="minorHAnsi" w:cstheme="minorHAnsi"/>
          <w:b/>
          <w:bCs/>
          <w:sz w:val="22"/>
        </w:rPr>
        <w:t>31</w:t>
      </w:r>
      <w:r w:rsidR="004D518D" w:rsidRPr="004D518D">
        <w:rPr>
          <w:rFonts w:asciiTheme="minorHAnsi" w:hAnsiTheme="minorHAnsi" w:cstheme="minorHAnsi"/>
          <w:b/>
          <w:bCs/>
          <w:sz w:val="22"/>
        </w:rPr>
        <w:t>.08</w:t>
      </w:r>
      <w:r w:rsidR="001875D6" w:rsidRPr="004D518D">
        <w:rPr>
          <w:rFonts w:asciiTheme="minorHAnsi" w:hAnsiTheme="minorHAnsi" w:cstheme="minorHAnsi"/>
          <w:b/>
          <w:sz w:val="22"/>
        </w:rPr>
        <w:t>.202</w:t>
      </w:r>
      <w:r w:rsidRPr="004D518D">
        <w:rPr>
          <w:rFonts w:asciiTheme="minorHAnsi" w:hAnsiTheme="minorHAnsi" w:cstheme="minorHAnsi"/>
          <w:b/>
          <w:sz w:val="22"/>
        </w:rPr>
        <w:t>1</w:t>
      </w:r>
      <w:r w:rsidR="001875D6" w:rsidRPr="004D518D">
        <w:rPr>
          <w:rFonts w:asciiTheme="minorHAnsi" w:hAnsiTheme="minorHAnsi" w:cstheme="minorHAnsi"/>
          <w:b/>
          <w:sz w:val="22"/>
        </w:rPr>
        <w:t xml:space="preserve"> r. do godz. </w:t>
      </w:r>
      <w:r w:rsidRPr="004D518D">
        <w:rPr>
          <w:rFonts w:asciiTheme="minorHAnsi" w:hAnsiTheme="minorHAnsi" w:cstheme="minorHAnsi"/>
          <w:b/>
          <w:sz w:val="22"/>
        </w:rPr>
        <w:t>1</w:t>
      </w:r>
      <w:r w:rsidR="004D518D" w:rsidRPr="004D518D">
        <w:rPr>
          <w:rFonts w:asciiTheme="minorHAnsi" w:hAnsiTheme="minorHAnsi" w:cstheme="minorHAnsi"/>
          <w:b/>
          <w:sz w:val="22"/>
        </w:rPr>
        <w:t>0</w:t>
      </w:r>
      <w:r w:rsidR="001875D6" w:rsidRPr="004D518D">
        <w:rPr>
          <w:rFonts w:asciiTheme="minorHAnsi" w:hAnsiTheme="minorHAnsi" w:cstheme="minorHAnsi"/>
          <w:b/>
          <w:sz w:val="22"/>
        </w:rPr>
        <w:t>:00</w:t>
      </w:r>
      <w:r w:rsidRPr="004D518D">
        <w:rPr>
          <w:rFonts w:asciiTheme="minorHAnsi" w:hAnsiTheme="minorHAnsi" w:cstheme="minorHAnsi"/>
          <w:b/>
          <w:sz w:val="22"/>
        </w:rPr>
        <w:t>.</w:t>
      </w:r>
      <w:r w:rsidR="001875D6" w:rsidRPr="004D518D">
        <w:rPr>
          <w:rFonts w:asciiTheme="minorHAnsi" w:hAnsiTheme="minorHAnsi" w:cstheme="minorHAnsi"/>
          <w:b/>
          <w:sz w:val="22"/>
        </w:rPr>
        <w:t xml:space="preserve"> </w:t>
      </w:r>
    </w:p>
    <w:p w14:paraId="34FCF679" w14:textId="5D5E2970" w:rsidR="003E26D3" w:rsidRPr="004D518D" w:rsidRDefault="003E26D3">
      <w:pPr>
        <w:numPr>
          <w:ilvl w:val="1"/>
          <w:numId w:val="1"/>
        </w:numPr>
        <w:spacing w:after="14" w:line="267" w:lineRule="auto"/>
        <w:ind w:right="337" w:hanging="852"/>
        <w:rPr>
          <w:rFonts w:asciiTheme="minorHAnsi" w:hAnsiTheme="minorHAnsi" w:cstheme="minorHAnsi"/>
          <w:bCs/>
          <w:sz w:val="22"/>
        </w:rPr>
      </w:pPr>
      <w:r w:rsidRPr="004D518D">
        <w:rPr>
          <w:rFonts w:asciiTheme="minorHAnsi" w:hAnsiTheme="minorHAnsi" w:cstheme="minorHAnsi"/>
          <w:bCs/>
          <w:sz w:val="22"/>
        </w:rPr>
        <w:t xml:space="preserve">Otwarcie ofert nastąpi w dniu </w:t>
      </w:r>
      <w:r w:rsidR="00D5442F">
        <w:rPr>
          <w:rFonts w:asciiTheme="minorHAnsi" w:hAnsiTheme="minorHAnsi" w:cstheme="minorHAnsi"/>
          <w:b/>
          <w:bCs/>
          <w:sz w:val="22"/>
        </w:rPr>
        <w:t>31</w:t>
      </w:r>
      <w:r w:rsidR="004D518D" w:rsidRPr="004D518D">
        <w:rPr>
          <w:rFonts w:asciiTheme="minorHAnsi" w:hAnsiTheme="minorHAnsi" w:cstheme="minorHAnsi"/>
          <w:b/>
          <w:bCs/>
          <w:sz w:val="22"/>
        </w:rPr>
        <w:t>.08</w:t>
      </w:r>
      <w:r w:rsidRPr="004D518D">
        <w:rPr>
          <w:rFonts w:asciiTheme="minorHAnsi" w:hAnsiTheme="minorHAnsi" w:cstheme="minorHAnsi"/>
          <w:b/>
          <w:sz w:val="22"/>
        </w:rPr>
        <w:t>.2021 r., o godzinie 1</w:t>
      </w:r>
      <w:r w:rsidR="004D518D" w:rsidRPr="004D518D">
        <w:rPr>
          <w:rFonts w:asciiTheme="minorHAnsi" w:hAnsiTheme="minorHAnsi" w:cstheme="minorHAnsi"/>
          <w:b/>
          <w:sz w:val="22"/>
        </w:rPr>
        <w:t>1</w:t>
      </w:r>
      <w:r w:rsidRPr="004D518D">
        <w:rPr>
          <w:rFonts w:asciiTheme="minorHAnsi" w:hAnsiTheme="minorHAnsi" w:cstheme="minorHAnsi"/>
          <w:b/>
          <w:sz w:val="22"/>
        </w:rPr>
        <w:t>:00.</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772E5B0E" w:rsidR="00153B75" w:rsidRPr="004D518D" w:rsidRDefault="001875D6" w:rsidP="003E26D3">
      <w:pPr>
        <w:numPr>
          <w:ilvl w:val="1"/>
          <w:numId w:val="1"/>
        </w:numPr>
        <w:ind w:right="337" w:hanging="852"/>
        <w:rPr>
          <w:rFonts w:asciiTheme="minorHAnsi" w:hAnsiTheme="minorHAnsi" w:cstheme="minorHAnsi"/>
          <w:b/>
          <w:sz w:val="22"/>
        </w:rPr>
      </w:pPr>
      <w:r w:rsidRPr="008744B8">
        <w:rPr>
          <w:rFonts w:asciiTheme="minorHAnsi" w:hAnsiTheme="minorHAnsi" w:cstheme="minorHAnsi"/>
          <w:sz w:val="22"/>
        </w:rPr>
        <w:t>Wykonawca jest związany ofertą od dnia terminu składania ofert</w:t>
      </w:r>
      <w:r w:rsidRPr="008744B8">
        <w:rPr>
          <w:rFonts w:asciiTheme="minorHAnsi" w:hAnsiTheme="minorHAnsi" w:cstheme="minorHAnsi"/>
          <w:b/>
          <w:sz w:val="22"/>
        </w:rPr>
        <w:t xml:space="preserve"> </w:t>
      </w:r>
      <w:r w:rsidRPr="00800996">
        <w:rPr>
          <w:rFonts w:asciiTheme="minorHAnsi" w:hAnsiTheme="minorHAnsi" w:cstheme="minorHAnsi"/>
          <w:b/>
          <w:sz w:val="22"/>
        </w:rPr>
        <w:t xml:space="preserve">do dnia </w:t>
      </w:r>
      <w:r w:rsidR="00D5442F">
        <w:rPr>
          <w:rFonts w:asciiTheme="minorHAnsi" w:hAnsiTheme="minorHAnsi" w:cstheme="minorHAnsi"/>
          <w:b/>
          <w:sz w:val="22"/>
        </w:rPr>
        <w:t>29</w:t>
      </w:r>
      <w:r w:rsidR="004D518D" w:rsidRPr="004D518D">
        <w:rPr>
          <w:rFonts w:asciiTheme="minorHAnsi" w:hAnsiTheme="minorHAnsi" w:cstheme="minorHAnsi"/>
          <w:b/>
          <w:sz w:val="22"/>
        </w:rPr>
        <w:t>.09</w:t>
      </w:r>
      <w:r w:rsidR="006A609F" w:rsidRPr="004D518D">
        <w:rPr>
          <w:rFonts w:asciiTheme="minorHAnsi" w:hAnsiTheme="minorHAnsi" w:cstheme="minorHAnsi"/>
          <w:b/>
          <w:sz w:val="22"/>
        </w:rPr>
        <w:t>.</w:t>
      </w:r>
      <w:r w:rsidR="003E26D3" w:rsidRPr="004D518D">
        <w:rPr>
          <w:rFonts w:asciiTheme="minorHAnsi" w:hAnsiTheme="minorHAnsi" w:cstheme="minorHAnsi"/>
          <w:b/>
          <w:sz w:val="22"/>
        </w:rPr>
        <w:t>2021</w:t>
      </w:r>
      <w:r w:rsidR="004D518D" w:rsidRPr="004D518D">
        <w:rPr>
          <w:rFonts w:asciiTheme="minorHAnsi" w:hAnsiTheme="minorHAnsi" w:cstheme="minorHAnsi"/>
          <w:b/>
          <w:sz w:val="22"/>
        </w:rPr>
        <w:t xml:space="preserve"> </w:t>
      </w:r>
      <w:r w:rsidR="003E26D3" w:rsidRPr="004D518D">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Cn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 xml:space="preserve">G = (Gb/Gn)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Gb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Gn – najdłuższy okres gwarancji spośród ofert nieodrzuconych. </w:t>
      </w:r>
    </w:p>
    <w:p w14:paraId="2286A09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Zamawiający wymaga zaoferowania gwarancji na okres minimum 24 miesiące na przedmiot zamówienia. Zamawiający przyjmuje, że w kryterium „Okres gwarancji” oceniany będzie proponowany przez wykonawców okres gwarancji w skali od 24 miesięcy do 36 miesięcy.</w:t>
      </w:r>
    </w:p>
    <w:p w14:paraId="21CC10C9"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przypadku braku wskazania przez wykonawcę w ofercie okresu gwarancji, Zamawiający przyjmie, że oferuje on minimalny wymagany okres gwarancji tj. 24 miesiące.</w:t>
      </w:r>
    </w:p>
    <w:p w14:paraId="2CACA485"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przypadku zaoferowania przez Wykonawcę okresu gwarancji dłuższego niż 36 miesięcy, Zamawiający w celu przyznania punktów w kryterium „Okres gwarancji” przyjmie do obliczeń 36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77777777"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lastRenderedPageBreak/>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„Pzp”).</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Obowiązek podania przez Panią/Pana danych osobowych bezpośrednio Pani/Pana dotyczących jest wymogiem ustawowym określonym w przepisach Pzp,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na podstawie art. 15 RODO prawo dostępu do danych osobowych Pani/Pana dotyczących (w przypadku, gdy skorzystanie z tego prawa wymagałoby po stronie administratora </w:t>
      </w:r>
      <w:r w:rsidRPr="00D4741A">
        <w:rPr>
          <w:rFonts w:asciiTheme="minorHAnsi" w:eastAsia="Times New Roman" w:hAnsiTheme="minorHAnsi" w:cstheme="minorHAnsi"/>
          <w:sz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0"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0"/>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7777777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0DA5D9D1" w:rsidR="004D518D" w:rsidRDefault="004D518D" w:rsidP="00670720">
      <w:pPr>
        <w:numPr>
          <w:ilvl w:val="0"/>
          <w:numId w:val="18"/>
        </w:numPr>
        <w:spacing w:after="17" w:line="259" w:lineRule="auto"/>
        <w:ind w:left="566" w:right="0" w:hanging="424"/>
      </w:pPr>
      <w:r w:rsidRPr="004D518D">
        <w:t>Opis parametrów technicznych i użytkowych oferowanych produktów</w:t>
      </w:r>
      <w:r>
        <w:t>;</w:t>
      </w: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2ADC" w14:textId="77777777" w:rsidR="003D3E83" w:rsidRDefault="003D3E83">
      <w:pPr>
        <w:spacing w:after="0" w:line="240" w:lineRule="auto"/>
      </w:pPr>
      <w:r>
        <w:separator/>
      </w:r>
    </w:p>
  </w:endnote>
  <w:endnote w:type="continuationSeparator" w:id="0">
    <w:p w14:paraId="6CDDC3FD" w14:textId="77777777" w:rsidR="003D3E83" w:rsidRDefault="003D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1780" w14:textId="77777777" w:rsidR="003D3E83" w:rsidRDefault="003D3E83">
      <w:pPr>
        <w:spacing w:after="0" w:line="259" w:lineRule="auto"/>
        <w:ind w:left="0" w:right="0" w:firstLine="0"/>
        <w:jc w:val="left"/>
      </w:pPr>
      <w:r>
        <w:separator/>
      </w:r>
    </w:p>
  </w:footnote>
  <w:footnote w:type="continuationSeparator" w:id="0">
    <w:p w14:paraId="5C552545" w14:textId="77777777" w:rsidR="003D3E83" w:rsidRDefault="003D3E83">
      <w:pPr>
        <w:spacing w:after="0" w:line="259" w:lineRule="auto"/>
        <w:ind w:left="0" w:right="0" w:firstLine="0"/>
        <w:jc w:val="left"/>
      </w:pPr>
      <w:r>
        <w:continuationSeparator/>
      </w:r>
    </w:p>
  </w:footnote>
  <w:footnote w:id="1">
    <w:p w14:paraId="536575DD" w14:textId="77777777" w:rsidR="00FF186E" w:rsidRDefault="00FF186E">
      <w:pPr>
        <w:pStyle w:val="footnotedescription"/>
      </w:pPr>
      <w:r>
        <w:rPr>
          <w:rStyle w:val="footnotemark"/>
        </w:rPr>
        <w:footnoteRef/>
      </w:r>
      <w:r>
        <w:t xml:space="preserve"> Ustawa z dnia 11 września 2019 r. – Prawo zamówień publicznych (Dz. U. z 2019, poz. 2019 ze zm.) </w:t>
      </w:r>
    </w:p>
  </w:footnote>
  <w:footnote w:id="2">
    <w:p w14:paraId="7667906D" w14:textId="77777777" w:rsidR="00FF186E" w:rsidRDefault="00FF186E">
      <w:pPr>
        <w:pStyle w:val="footnotedescription"/>
        <w:spacing w:after="23"/>
      </w:pPr>
      <w:r>
        <w:rPr>
          <w:rStyle w:val="footnotemark"/>
        </w:rPr>
        <w:footnoteRef/>
      </w:r>
      <w:r>
        <w:t xml:space="preserve"> Ustawa z dnia 23 kwietnia 1964 r. – Kodeks cywilny (Dz. U. z 2020 r. poz. 1740) </w:t>
      </w:r>
    </w:p>
  </w:footnote>
  <w:footnote w:id="3">
    <w:p w14:paraId="7E1C8A13" w14:textId="77777777" w:rsidR="00FF186E" w:rsidRDefault="00FF186E">
      <w:pPr>
        <w:pStyle w:val="footnotedescription"/>
      </w:pPr>
      <w:r>
        <w:rPr>
          <w:rStyle w:val="footnotemark"/>
        </w:rPr>
        <w:footnoteRef/>
      </w:r>
      <w:r>
        <w:t xml:space="preserve"> Ustawa z dnia 11 września 2019 r. – Prawo zamówień publicznych (Dz. U. z 2019 r. poz. 2019 ze zm.) </w:t>
      </w:r>
    </w:p>
  </w:footnote>
  <w:footnote w:id="4">
    <w:p w14:paraId="27E9EB12" w14:textId="77777777" w:rsidR="00FF186E" w:rsidRDefault="00FF186E">
      <w:pPr>
        <w:pStyle w:val="footnotedescription"/>
      </w:pPr>
      <w:r>
        <w:rPr>
          <w:rStyle w:val="footnotemark"/>
        </w:rPr>
        <w:footnoteRef/>
      </w:r>
      <w:r>
        <w:t xml:space="preserve"> Ustawa z dnia 11 marca 2004 r. o podatku od towarów i usług (Dz. U. z 2020 r. poz. 106)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4"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9"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8"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4"/>
  </w:num>
  <w:num w:numId="3">
    <w:abstractNumId w:val="5"/>
  </w:num>
  <w:num w:numId="4">
    <w:abstractNumId w:val="18"/>
  </w:num>
  <w:num w:numId="5">
    <w:abstractNumId w:val="19"/>
  </w:num>
  <w:num w:numId="6">
    <w:abstractNumId w:val="1"/>
  </w:num>
  <w:num w:numId="7">
    <w:abstractNumId w:val="16"/>
  </w:num>
  <w:num w:numId="8">
    <w:abstractNumId w:val="12"/>
  </w:num>
  <w:num w:numId="9">
    <w:abstractNumId w:val="15"/>
  </w:num>
  <w:num w:numId="10">
    <w:abstractNumId w:val="20"/>
  </w:num>
  <w:num w:numId="11">
    <w:abstractNumId w:val="9"/>
  </w:num>
  <w:num w:numId="12">
    <w:abstractNumId w:val="23"/>
  </w:num>
  <w:num w:numId="13">
    <w:abstractNumId w:val="13"/>
  </w:num>
  <w:num w:numId="14">
    <w:abstractNumId w:val="24"/>
  </w:num>
  <w:num w:numId="15">
    <w:abstractNumId w:val="2"/>
  </w:num>
  <w:num w:numId="16">
    <w:abstractNumId w:val="6"/>
  </w:num>
  <w:num w:numId="17">
    <w:abstractNumId w:val="17"/>
  </w:num>
  <w:num w:numId="18">
    <w:abstractNumId w:val="22"/>
  </w:num>
  <w:num w:numId="19">
    <w:abstractNumId w:val="8"/>
  </w:num>
  <w:num w:numId="20">
    <w:abstractNumId w:val="10"/>
  </w:num>
  <w:num w:numId="21">
    <w:abstractNumId w:val="7"/>
  </w:num>
  <w:num w:numId="22">
    <w:abstractNumId w:val="3"/>
  </w:num>
  <w:num w:numId="23">
    <w:abstractNumId w:val="14"/>
  </w:num>
  <w:num w:numId="24">
    <w:abstractNumId w:val="0"/>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86FB8"/>
    <w:rsid w:val="00090D61"/>
    <w:rsid w:val="000A2641"/>
    <w:rsid w:val="000B606B"/>
    <w:rsid w:val="000C33DC"/>
    <w:rsid w:val="000C6D41"/>
    <w:rsid w:val="000D31D2"/>
    <w:rsid w:val="000E4111"/>
    <w:rsid w:val="0010110B"/>
    <w:rsid w:val="0010587E"/>
    <w:rsid w:val="00110E20"/>
    <w:rsid w:val="00117E6B"/>
    <w:rsid w:val="00124111"/>
    <w:rsid w:val="00131AE5"/>
    <w:rsid w:val="00153B75"/>
    <w:rsid w:val="00170C78"/>
    <w:rsid w:val="00175B21"/>
    <w:rsid w:val="001875D6"/>
    <w:rsid w:val="00193676"/>
    <w:rsid w:val="00193BAF"/>
    <w:rsid w:val="001951E9"/>
    <w:rsid w:val="00212E0E"/>
    <w:rsid w:val="002411A3"/>
    <w:rsid w:val="002474E5"/>
    <w:rsid w:val="002516B5"/>
    <w:rsid w:val="00256F61"/>
    <w:rsid w:val="00260CC0"/>
    <w:rsid w:val="002773F4"/>
    <w:rsid w:val="00280D2E"/>
    <w:rsid w:val="002A1341"/>
    <w:rsid w:val="002A5551"/>
    <w:rsid w:val="002B6175"/>
    <w:rsid w:val="002E174A"/>
    <w:rsid w:val="002F4799"/>
    <w:rsid w:val="00300C3B"/>
    <w:rsid w:val="00302C73"/>
    <w:rsid w:val="003041A1"/>
    <w:rsid w:val="0031139D"/>
    <w:rsid w:val="003237A8"/>
    <w:rsid w:val="00323E69"/>
    <w:rsid w:val="0033394F"/>
    <w:rsid w:val="00342AE1"/>
    <w:rsid w:val="003501A7"/>
    <w:rsid w:val="00355238"/>
    <w:rsid w:val="0035613E"/>
    <w:rsid w:val="00363C12"/>
    <w:rsid w:val="0037162A"/>
    <w:rsid w:val="00390E34"/>
    <w:rsid w:val="003967D4"/>
    <w:rsid w:val="003C6293"/>
    <w:rsid w:val="003D1581"/>
    <w:rsid w:val="003D3E83"/>
    <w:rsid w:val="003E26D3"/>
    <w:rsid w:val="00415352"/>
    <w:rsid w:val="00424E27"/>
    <w:rsid w:val="00432DB1"/>
    <w:rsid w:val="004362D5"/>
    <w:rsid w:val="004418B6"/>
    <w:rsid w:val="00464251"/>
    <w:rsid w:val="004649D4"/>
    <w:rsid w:val="004670E4"/>
    <w:rsid w:val="004678CE"/>
    <w:rsid w:val="00480644"/>
    <w:rsid w:val="00485F41"/>
    <w:rsid w:val="00486C25"/>
    <w:rsid w:val="00490E14"/>
    <w:rsid w:val="004A26D4"/>
    <w:rsid w:val="004B38E0"/>
    <w:rsid w:val="004C2243"/>
    <w:rsid w:val="004D5188"/>
    <w:rsid w:val="004D518D"/>
    <w:rsid w:val="004E5650"/>
    <w:rsid w:val="00511B94"/>
    <w:rsid w:val="00514270"/>
    <w:rsid w:val="005159AA"/>
    <w:rsid w:val="00525218"/>
    <w:rsid w:val="00562011"/>
    <w:rsid w:val="00565E91"/>
    <w:rsid w:val="00574BE7"/>
    <w:rsid w:val="005761C9"/>
    <w:rsid w:val="00583724"/>
    <w:rsid w:val="00592613"/>
    <w:rsid w:val="005A01F3"/>
    <w:rsid w:val="005A5C15"/>
    <w:rsid w:val="005B13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50AF1"/>
    <w:rsid w:val="0075257A"/>
    <w:rsid w:val="00763CD2"/>
    <w:rsid w:val="00765946"/>
    <w:rsid w:val="007707A4"/>
    <w:rsid w:val="00782D36"/>
    <w:rsid w:val="0079104C"/>
    <w:rsid w:val="007955E1"/>
    <w:rsid w:val="007A48E0"/>
    <w:rsid w:val="007D5756"/>
    <w:rsid w:val="007E5661"/>
    <w:rsid w:val="007E70CC"/>
    <w:rsid w:val="007F319B"/>
    <w:rsid w:val="007F38FB"/>
    <w:rsid w:val="007F6AA9"/>
    <w:rsid w:val="00800996"/>
    <w:rsid w:val="00812370"/>
    <w:rsid w:val="00847323"/>
    <w:rsid w:val="00850AE1"/>
    <w:rsid w:val="008744B8"/>
    <w:rsid w:val="00876646"/>
    <w:rsid w:val="00885806"/>
    <w:rsid w:val="00896E51"/>
    <w:rsid w:val="008A1DBB"/>
    <w:rsid w:val="008D0FDA"/>
    <w:rsid w:val="008F498A"/>
    <w:rsid w:val="008F5B4E"/>
    <w:rsid w:val="00940E68"/>
    <w:rsid w:val="00950B87"/>
    <w:rsid w:val="009669EF"/>
    <w:rsid w:val="00970F72"/>
    <w:rsid w:val="0097123E"/>
    <w:rsid w:val="0099451E"/>
    <w:rsid w:val="009D184D"/>
    <w:rsid w:val="009E2E70"/>
    <w:rsid w:val="009E5619"/>
    <w:rsid w:val="009E5C1A"/>
    <w:rsid w:val="009F0DE5"/>
    <w:rsid w:val="00A05C47"/>
    <w:rsid w:val="00A12F25"/>
    <w:rsid w:val="00A24D7E"/>
    <w:rsid w:val="00A348BC"/>
    <w:rsid w:val="00A41EB4"/>
    <w:rsid w:val="00A557EE"/>
    <w:rsid w:val="00A75FEF"/>
    <w:rsid w:val="00A819A0"/>
    <w:rsid w:val="00AB3EE7"/>
    <w:rsid w:val="00AB7813"/>
    <w:rsid w:val="00AC5AB0"/>
    <w:rsid w:val="00AD01D9"/>
    <w:rsid w:val="00AE1BFD"/>
    <w:rsid w:val="00AF68A8"/>
    <w:rsid w:val="00B07260"/>
    <w:rsid w:val="00B1411C"/>
    <w:rsid w:val="00B1635C"/>
    <w:rsid w:val="00B30CA3"/>
    <w:rsid w:val="00B32DDA"/>
    <w:rsid w:val="00B41A80"/>
    <w:rsid w:val="00B561BE"/>
    <w:rsid w:val="00B56610"/>
    <w:rsid w:val="00B66B74"/>
    <w:rsid w:val="00B90B83"/>
    <w:rsid w:val="00BA370A"/>
    <w:rsid w:val="00BB035F"/>
    <w:rsid w:val="00BB3039"/>
    <w:rsid w:val="00BB7F48"/>
    <w:rsid w:val="00BD65C6"/>
    <w:rsid w:val="00BD6686"/>
    <w:rsid w:val="00BE3D4A"/>
    <w:rsid w:val="00BF2C70"/>
    <w:rsid w:val="00BF7E53"/>
    <w:rsid w:val="00C25BBB"/>
    <w:rsid w:val="00C35DC6"/>
    <w:rsid w:val="00C37047"/>
    <w:rsid w:val="00C46DB5"/>
    <w:rsid w:val="00C53EBA"/>
    <w:rsid w:val="00C56B5E"/>
    <w:rsid w:val="00C66767"/>
    <w:rsid w:val="00C73945"/>
    <w:rsid w:val="00C7594C"/>
    <w:rsid w:val="00C84BA1"/>
    <w:rsid w:val="00C96F93"/>
    <w:rsid w:val="00CB34DE"/>
    <w:rsid w:val="00CB710D"/>
    <w:rsid w:val="00CE443F"/>
    <w:rsid w:val="00CF4951"/>
    <w:rsid w:val="00D1454A"/>
    <w:rsid w:val="00D2093C"/>
    <w:rsid w:val="00D41B56"/>
    <w:rsid w:val="00D43D4C"/>
    <w:rsid w:val="00D4741A"/>
    <w:rsid w:val="00D540EB"/>
    <w:rsid w:val="00D5442F"/>
    <w:rsid w:val="00D6516E"/>
    <w:rsid w:val="00D657FF"/>
    <w:rsid w:val="00D71663"/>
    <w:rsid w:val="00D76BFC"/>
    <w:rsid w:val="00D9122B"/>
    <w:rsid w:val="00D9673A"/>
    <w:rsid w:val="00DA2EA9"/>
    <w:rsid w:val="00DB271B"/>
    <w:rsid w:val="00DB35EA"/>
    <w:rsid w:val="00DB447B"/>
    <w:rsid w:val="00DC631C"/>
    <w:rsid w:val="00DE1D66"/>
    <w:rsid w:val="00DF15E4"/>
    <w:rsid w:val="00E02E6D"/>
    <w:rsid w:val="00E03733"/>
    <w:rsid w:val="00E171BC"/>
    <w:rsid w:val="00E359D3"/>
    <w:rsid w:val="00E466D7"/>
    <w:rsid w:val="00E56685"/>
    <w:rsid w:val="00E635A4"/>
    <w:rsid w:val="00E72423"/>
    <w:rsid w:val="00E810A6"/>
    <w:rsid w:val="00E816CE"/>
    <w:rsid w:val="00EA2A4A"/>
    <w:rsid w:val="00EE37FF"/>
    <w:rsid w:val="00EE7544"/>
    <w:rsid w:val="00EF4376"/>
    <w:rsid w:val="00F11FB6"/>
    <w:rsid w:val="00F12B6A"/>
    <w:rsid w:val="00F14706"/>
    <w:rsid w:val="00F1759F"/>
    <w:rsid w:val="00F23D8E"/>
    <w:rsid w:val="00F41D57"/>
    <w:rsid w:val="00F604D5"/>
    <w:rsid w:val="00F92D5D"/>
    <w:rsid w:val="00F97A2B"/>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5154</Words>
  <Characters>30928</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30</cp:revision>
  <dcterms:created xsi:type="dcterms:W3CDTF">2021-06-11T06:29:00Z</dcterms:created>
  <dcterms:modified xsi:type="dcterms:W3CDTF">2021-08-24T07:15:00Z</dcterms:modified>
</cp:coreProperties>
</file>