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5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Załącznik nr 1</w:t>
      </w:r>
      <w:r>
        <w:rPr>
          <w:rFonts w:ascii="Roboto" w:hAnsi="Roboto" w:cstheme="minorHAnsi"/>
          <w:bCs/>
          <w:sz w:val="22"/>
          <w:szCs w:val="22"/>
        </w:rPr>
        <w:t xml:space="preserve"> do Zapytania ofertowego</w:t>
      </w:r>
      <w:r w:rsidRPr="00704241">
        <w:rPr>
          <w:rFonts w:ascii="Roboto" w:hAnsi="Roboto" w:cstheme="minorHAnsi"/>
          <w:bCs/>
          <w:sz w:val="22"/>
          <w:szCs w:val="22"/>
        </w:rPr>
        <w:t xml:space="preserve"> 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Opis przedmiotu zamówienia</w:t>
      </w:r>
      <w:r>
        <w:rPr>
          <w:rFonts w:ascii="Roboto" w:hAnsi="Roboto" w:cstheme="minorHAnsi"/>
          <w:bCs/>
          <w:sz w:val="22"/>
          <w:szCs w:val="22"/>
        </w:rPr>
        <w:t>: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Dostawa drzwi wraz z wybraniem starych ościeżnic, kątowników, montażem nowych drzwi z obróbką w budynku warsztatów Zespołu Szkół Centrum Kształcenia Rolniczego im. Stanisława Staszica w Sejnach: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stalowe płaszczowe prze</w:t>
      </w:r>
      <w:r w:rsidR="00F337C8">
        <w:rPr>
          <w:rFonts w:ascii="Roboto" w:hAnsi="Roboto"/>
        </w:rPr>
        <w:t xml:space="preserve">ciwpożarowe EI30, kolor </w:t>
      </w:r>
      <w:proofErr w:type="spellStart"/>
      <w:r w:rsidR="00F337C8">
        <w:rPr>
          <w:rFonts w:ascii="Roboto" w:hAnsi="Roboto"/>
        </w:rPr>
        <w:t>Ral</w:t>
      </w:r>
      <w:proofErr w:type="spellEnd"/>
      <w:r w:rsidR="00F337C8">
        <w:rPr>
          <w:rFonts w:ascii="Roboto" w:hAnsi="Roboto"/>
        </w:rPr>
        <w:t xml:space="preserve"> 7035</w:t>
      </w:r>
      <w:r>
        <w:rPr>
          <w:rFonts w:ascii="Roboto" w:hAnsi="Roboto"/>
        </w:rPr>
        <w:t xml:space="preserve"> z ościeżnicą narożną, klamkami czarnymi i wkładkami – szt. 5</w:t>
      </w:r>
      <w:r w:rsidR="00F337C8">
        <w:rPr>
          <w:rFonts w:ascii="Roboto" w:hAnsi="Roboto"/>
        </w:rPr>
        <w:t xml:space="preserve"> (101x214 szt. 4, 91x197 szt. 1)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stalow</w:t>
      </w:r>
      <w:r w:rsidR="00F337C8">
        <w:rPr>
          <w:rFonts w:ascii="Roboto" w:hAnsi="Roboto"/>
        </w:rPr>
        <w:t xml:space="preserve">e płaszczowe Eco, kolor </w:t>
      </w:r>
      <w:proofErr w:type="spellStart"/>
      <w:r w:rsidR="00F337C8">
        <w:rPr>
          <w:rFonts w:ascii="Roboto" w:hAnsi="Roboto"/>
        </w:rPr>
        <w:t>Ral</w:t>
      </w:r>
      <w:proofErr w:type="spellEnd"/>
      <w:r w:rsidR="00F337C8">
        <w:rPr>
          <w:rFonts w:ascii="Roboto" w:hAnsi="Roboto"/>
        </w:rPr>
        <w:t xml:space="preserve"> 7035</w:t>
      </w:r>
      <w:r>
        <w:rPr>
          <w:rFonts w:ascii="Roboto" w:hAnsi="Roboto"/>
        </w:rPr>
        <w:t xml:space="preserve"> z ościeżnicą narożną, klamkami czarnymi i wkładkami – szt. 8</w:t>
      </w:r>
      <w:r w:rsidR="00F337C8">
        <w:rPr>
          <w:rFonts w:ascii="Roboto" w:hAnsi="Roboto"/>
        </w:rPr>
        <w:t xml:space="preserve"> (101x214 szt. 5, 101x205 szt. 1, 91x205 szt. 1, 210x205 szt. 1)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płytowe z płytą otworową, klamkami i wkładkami - 12 szt.</w:t>
      </w:r>
      <w:r w:rsidR="00BB7E62">
        <w:rPr>
          <w:rFonts w:ascii="Roboto" w:hAnsi="Roboto"/>
        </w:rPr>
        <w:t xml:space="preserve"> (80 – szt. 7, 70 – szt. 1, 70 – szt. 1WC,  60 – szt. 2WC, 90 – szt. 1) — Wiąz Syberyjski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regulowane T80 – 11 szt.</w:t>
      </w:r>
      <w:bookmarkStart w:id="0" w:name="_GoBack"/>
      <w:bookmarkEnd w:id="0"/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stałe i opaski – 2 komplety</w:t>
      </w: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Przywrócenie pomieszczeń do stanu pierwotnego.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1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1"/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2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2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3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3"/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  reprezentowanym przez: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4" w:name="_Hlk175909777"/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4"/>
    <w:p w:rsidR="008463D5" w:rsidRPr="00704241" w:rsidRDefault="008463D5" w:rsidP="008463D5">
      <w:pPr>
        <w:pStyle w:val="Akapitzlist"/>
        <w:widowControl w:val="0"/>
        <w:numPr>
          <w:ilvl w:val="0"/>
          <w:numId w:val="3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:rsidR="008463D5" w:rsidRDefault="008463D5" w:rsidP="008463D5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5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page52"/>
      <w:bookmarkEnd w:id="6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7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8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8"/>
      <w:r w:rsidRPr="00704241">
        <w:rPr>
          <w:rFonts w:ascii="Roboto" w:hAnsi="Roboto"/>
          <w:color w:val="000000" w:themeColor="text1"/>
          <w:sz w:val="22"/>
        </w:rPr>
        <w:t>5 Odbiory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9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9"/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:rsidR="008463D5" w:rsidRPr="00704241" w:rsidRDefault="008463D5" w:rsidP="008463D5">
      <w:pPr>
        <w:numPr>
          <w:ilvl w:val="1"/>
          <w:numId w:val="1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9 Prawa autorskie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8"/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ray</w:t>
      </w:r>
      <w:proofErr w:type="spellEnd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 pendrive, itd.);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modyfikacja, zmiana lub adaptacja;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10 Personel Wykonawcy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:rsidR="008463D5" w:rsidRPr="00704241" w:rsidRDefault="008463D5" w:rsidP="008463D5">
      <w:pPr>
        <w:numPr>
          <w:ilvl w:val="0"/>
          <w:numId w:val="6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11 Podwykonawcy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12 Dane osobowe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8463D5" w:rsidRPr="00704241" w:rsidRDefault="008463D5" w:rsidP="008463D5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13 Zmiany umowy</w:t>
      </w:r>
    </w:p>
    <w:p w:rsidR="008463D5" w:rsidRPr="00704241" w:rsidRDefault="008463D5" w:rsidP="008463D5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:rsidR="008463D5" w:rsidRPr="00704241" w:rsidRDefault="008463D5" w:rsidP="008463D5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14 Postanowienia końcowe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9"/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4 do Zapytania – wykaz usług/dostaw/robót budowlanych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USŁUG/DOSTAW/ROBÓT BUDOWLANYCH</w:t>
      </w:r>
    </w:p>
    <w:p w:rsidR="008463D5" w:rsidRPr="00DB33E6" w:rsidRDefault="008463D5" w:rsidP="008463D5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 w:rsidRPr="00704241">
        <w:rPr>
          <w:rFonts w:ascii="Roboto" w:eastAsia="Times New Roman" w:hAnsi="Roboto" w:cs="Calibri"/>
          <w:bCs/>
          <w:kern w:val="0"/>
          <w:sz w:val="22"/>
          <w:szCs w:val="22"/>
          <w:lang w:eastAsia="pl-PL" w:bidi="ar-SA"/>
        </w:rPr>
        <w:t>[…]</w:t>
      </w:r>
      <w:r w:rsidRPr="00DB33E6">
        <w:rPr>
          <w:rFonts w:ascii="Roboto" w:eastAsia="Times New Roman" w:hAnsi="Roboto" w:cs="Calibri"/>
          <w:b/>
          <w:kern w:val="0"/>
          <w:sz w:val="22"/>
          <w:szCs w:val="22"/>
          <w:lang w:eastAsia="pl-PL" w:bidi="ar-SA"/>
        </w:rPr>
        <w:t xml:space="preserve"> </w:t>
      </w:r>
      <w:r w:rsidRPr="00DB33E6">
        <w:rPr>
          <w:rFonts w:ascii="Roboto" w:eastAsia="Calibri" w:hAnsi="Roboto" w:cs="Calibri"/>
          <w:color w:val="000000"/>
          <w:kern w:val="0"/>
          <w:sz w:val="22"/>
          <w:szCs w:val="22"/>
          <w:lang w:eastAsia="pl-PL" w:bidi="ar-SA"/>
        </w:rPr>
        <w:t>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zamówienia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B4DF2" w:rsidRPr="008463D5" w:rsidRDefault="00CB4DF2" w:rsidP="008463D5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sectPr w:rsidR="00CB4DF2" w:rsidRPr="008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2D" w:rsidRDefault="00043E2D" w:rsidP="008463D5">
      <w:r>
        <w:separator/>
      </w:r>
    </w:p>
  </w:endnote>
  <w:endnote w:type="continuationSeparator" w:id="0">
    <w:p w:rsidR="00043E2D" w:rsidRDefault="00043E2D" w:rsidP="008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2D" w:rsidRDefault="00043E2D" w:rsidP="008463D5">
      <w:r>
        <w:separator/>
      </w:r>
    </w:p>
  </w:footnote>
  <w:footnote w:type="continuationSeparator" w:id="0">
    <w:p w:rsidR="00043E2D" w:rsidRDefault="00043E2D" w:rsidP="008463D5">
      <w:r>
        <w:continuationSeparator/>
      </w:r>
    </w:p>
  </w:footnote>
  <w:footnote w:id="1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Zastosować jeśli dotyczy – wymaga każdorazowej oceny z pkt widzenia merytorycznego i formalnoprawnego</w:t>
      </w:r>
    </w:p>
  </w:footnote>
  <w:footnote w:id="9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5"/>
    <w:rsid w:val="00043E2D"/>
    <w:rsid w:val="0030099C"/>
    <w:rsid w:val="00456CDC"/>
    <w:rsid w:val="008463D5"/>
    <w:rsid w:val="00B61492"/>
    <w:rsid w:val="00BB7E62"/>
    <w:rsid w:val="00CB4DF2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3074</Words>
  <Characters>18446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Naprawa Maszyn</dc:creator>
  <cp:lastModifiedBy>Naprawa Maszyn</cp:lastModifiedBy>
  <cp:revision>2</cp:revision>
  <dcterms:created xsi:type="dcterms:W3CDTF">2025-03-26T09:16:00Z</dcterms:created>
  <dcterms:modified xsi:type="dcterms:W3CDTF">2025-03-26T09:16:00Z</dcterms:modified>
</cp:coreProperties>
</file>