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ZAŁĄCZNIK „A”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OPIS PRZEDMIOTU ZAMÓWIENIA: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 w:hanging="426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Przedmiot zamówienia: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Przedmiotem zamówienia jest: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„Remont posadzek w pomieszczeniach kuchni w Szkole Podstawowej nr 5 w Piasecznie przy ul. Sikorskiego 20” </w:t>
      </w:r>
      <w:r>
        <w:rPr>
          <w:rFonts w:ascii="Arial" w:eastAsia="Arial" w:hAnsi="Arial" w:cs="Arial"/>
          <w:b/>
          <w:color w:val="000000"/>
        </w:rPr>
        <w:tab/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Roboty objęte zamówieniem należy wykonać w oparciu o niniejszy Opis Przedmiotu Zamówienia, 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874C8" w:rsidRDefault="00A178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Zakres rzeczowy robót do realizacji: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Dane charakterystyczne posadzek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Należy dokonać remontu około 146m2 posadzek w pomieszczeniu kuchni i pomieszczeniach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zaplecza kuchennego. Rozebranie starych posadzek (terakota szlichta, izolacja), wymiana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wpustów kanalizacyjnych, wykonanie nowych p</w:t>
      </w:r>
      <w:r>
        <w:rPr>
          <w:rFonts w:ascii="Arial" w:eastAsia="Arial" w:hAnsi="Arial" w:cs="Arial"/>
          <w:color w:val="000000"/>
        </w:rPr>
        <w:t>osadzek (izolacja, szlichta, terakota), naprawa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tynków sufitów z malowaniem w pomieszczeniu piwnicznym pod kuchnią. Roboty należy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wykonać zgodnie z załączonym przedmiarem robót.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</w:t>
      </w:r>
      <w:r>
        <w:rPr>
          <w:rFonts w:ascii="Arial" w:eastAsia="Arial" w:hAnsi="Arial" w:cs="Arial"/>
          <w:b/>
          <w:color w:val="000000"/>
        </w:rPr>
        <w:t>Opis stanu obecnego: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Posadzki znajdujące się w kuchni i w pomieszczeniach zaplecza kuchennego znajdują się w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złym stanie, w przeszłości były wielokrotnie naprawiane doraźnie. Skorodowana izolacja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przeciwwilgociowa powoduje przecieki do piwnicy</w:t>
      </w:r>
      <w:r>
        <w:rPr>
          <w:rFonts w:ascii="Arial" w:eastAsia="Arial" w:hAnsi="Arial" w:cs="Arial"/>
          <w:color w:val="000000"/>
        </w:rPr>
        <w:t>, a co za tym idzie odpadający tynk na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sufitach w piwnicy i uszkodzenia stropu 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color w:val="000000"/>
        </w:rPr>
      </w:pPr>
    </w:p>
    <w:p w:rsidR="007874C8" w:rsidRDefault="007874C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Dane dotyczące istniejących instalacji w pobliżu kuchni</w:t>
      </w:r>
    </w:p>
    <w:p w:rsidR="007874C8" w:rsidRDefault="00A178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Sieć elektryczna – nie koliduje z planowanym remontem</w:t>
      </w:r>
    </w:p>
    <w:p w:rsidR="007874C8" w:rsidRDefault="00A178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Sieć wodociągowa- nie koliduje z planowanym remontem</w:t>
      </w:r>
    </w:p>
    <w:p w:rsidR="007874C8" w:rsidRDefault="00A178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Sieć kanalizacji sanitarnej- nie koliduje z planowanym remontem</w:t>
      </w:r>
    </w:p>
    <w:p w:rsidR="007874C8" w:rsidRDefault="007874C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Zakres robót obejmuje: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64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Rozebranie posadzek, szlicht, izolacji, rozebranie wpustów kanalizacyjnych </w:t>
      </w:r>
    </w:p>
    <w:p w:rsidR="007874C8" w:rsidRDefault="00A178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Wywóz materiałów z rozbiórki ( wysypisko, utylizacja)</w:t>
      </w:r>
    </w:p>
    <w:p w:rsidR="007874C8" w:rsidRDefault="00A178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Wbudowanie nowych wpustów kanalizacyjnych.</w:t>
      </w:r>
    </w:p>
    <w:p w:rsidR="007874C8" w:rsidRDefault="00A178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Wykonanie nowych warstw posadzkowych izolacja, szlichta zbrojona siatką, terakota. </w:t>
      </w:r>
    </w:p>
    <w:p w:rsidR="007874C8" w:rsidRDefault="00A178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Zbicie zalanych, zmurszałych tynków na stropach w piwnicy, nowe tynki, malowanie.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ind w:hanging="436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Oferta ryczałtowa na całość zamówienia powinna uwzględniać koszty robót objętych przedmiarem , opisem robót oraz dodatkowo: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Koszt zasilania w energię elektryczną terenu robót, odbioru ścieków, dostarczenia wody i innych niezbędnych do realizacji Przedmiot</w:t>
      </w:r>
      <w:r>
        <w:rPr>
          <w:rFonts w:ascii="Arial" w:eastAsia="Arial" w:hAnsi="Arial" w:cs="Arial"/>
          <w:color w:val="000000"/>
        </w:rPr>
        <w:t>u Umowy do dnia bezusterkowego odbioru końcowego robót nie zawierającego wad, zgodnie z zapisem w § 10 ust. 4 Umowy.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Koszt opłat związanych z wywozem i utylizacją gruzu  oraz wszelkich innych odpadów powstałych w trakcie realizacji zamówienia,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Koszty wszy</w:t>
      </w:r>
      <w:r>
        <w:rPr>
          <w:rFonts w:ascii="Arial" w:eastAsia="Arial" w:hAnsi="Arial" w:cs="Arial"/>
          <w:color w:val="000000"/>
        </w:rPr>
        <w:t>stkich podatków, cła, koszty ubezpieczenia, transportu i inne obciążenia, które Wykonawca ma obowiązek płacić w związku z Umową,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możliwego wzrostu cen w okresie realizacji Umowy.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Koszty udzielenia gwarancji, na wykonany Przedmiot Zamówienia, na okres min. 36 miesięcy począwszy od daty </w:t>
      </w:r>
      <w:r>
        <w:rPr>
          <w:rFonts w:ascii="Arial" w:eastAsia="Arial" w:hAnsi="Arial" w:cs="Arial"/>
          <w:b/>
          <w:color w:val="000000"/>
          <w:u w:val="single"/>
        </w:rPr>
        <w:t>protokólarnego końcowego odbioru robót nie zawierającego wad, zgodnie z zapisem w § 12 ust. 1 Umowy.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certyfikatów zgodności z polską normą lub aprobatą techniczną na zastosowane wyroby w ramach zamówienia.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ochrony mienia na terenie robót do czasu bezusterkowego końcowego odbioru robót.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uprzątnięcia posesji oraz wywiezienia wszelkiego gru</w:t>
      </w:r>
      <w:r>
        <w:rPr>
          <w:rFonts w:ascii="Arial" w:eastAsia="Arial" w:hAnsi="Arial" w:cs="Arial"/>
          <w:color w:val="000000"/>
        </w:rPr>
        <w:t>zu i innych zbędnych materiałów znajdujących się na posesji.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Uwagi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Oferent jest zobowiązany do szczegółowej analizy opisu przedmiotu zamówienia i przedmiaru.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Na 1 dzień przed przystąpieniem do danego typu robót Wykonawca dostarczy do zatwierdzenia Zamawiającemu niezbędne dokumenty (certyfikaty, atesty i inne dokumenty) potwierdzające ich zgodność z opisem zamówienia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Wizja lokalna na obiekcie będzie możliwa po u</w:t>
      </w:r>
      <w:r>
        <w:rPr>
          <w:rFonts w:ascii="Arial" w:eastAsia="Arial" w:hAnsi="Arial" w:cs="Arial"/>
          <w:color w:val="000000"/>
          <w:u w:val="single"/>
        </w:rPr>
        <w:t>przednim uzgodnieniu terminu z przedstawicielem Zamawiającego – tel. .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Podczas realizacji oferent powinien uzgodnić wszelkie zmiany dotyczące zastosowanych materiałów (każda zmiana musi być uzgadniania z Inwestorem).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Wszystkie wymienione nazwy producentów </w:t>
      </w:r>
      <w:r>
        <w:rPr>
          <w:rFonts w:ascii="Arial" w:eastAsia="Arial" w:hAnsi="Arial" w:cs="Arial"/>
          <w:color w:val="000000"/>
        </w:rPr>
        <w:t>należy traktować jako przypadkowe, a wycenić i zastosować należy materiały o parametrach technicznych nie gorszych lub równoważnych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Oferent jest zobowiązany do szczegółowej analizy przedmiaru robót i opisu przedmiotu zamówienia celem wyeliminowania błędów </w:t>
      </w:r>
      <w:r>
        <w:rPr>
          <w:rFonts w:ascii="Arial" w:eastAsia="Arial" w:hAnsi="Arial" w:cs="Arial"/>
          <w:color w:val="000000"/>
        </w:rPr>
        <w:t>i przypadków nie uwzględnionych w powyższych dokumentach, a niezbędnych do prawidłowego wykonania zamówienia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g) </w:t>
      </w:r>
      <w:r>
        <w:rPr>
          <w:rFonts w:ascii="Arial" w:eastAsia="Arial" w:hAnsi="Arial" w:cs="Arial"/>
          <w:color w:val="000000"/>
        </w:rPr>
        <w:t>W przypadku braku pozycji w przekazanym przedmiarze robót lub innych wątpliwości należy wystąpić w trakcie trwania procedury wyboru oferty i w t</w:t>
      </w:r>
      <w:r>
        <w:rPr>
          <w:rFonts w:ascii="Arial" w:eastAsia="Arial" w:hAnsi="Arial" w:cs="Arial"/>
          <w:color w:val="000000"/>
        </w:rPr>
        <w:t>rakcie realizacji robót, na piśmie do Inwestora w celu uzyskania wyjaśnień. Należy     wykonać cały zakres robót określonych w przedmiarze robót i Załączniku „A”</w:t>
      </w:r>
    </w:p>
    <w:p w:rsidR="007874C8" w:rsidRDefault="007874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right="160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4.W ofercie Wykonawca powinien określić: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4.1 Cenę ryczałtową netto i brutto z określeniem odpowiedniej stawki VAT na poszczególne zakresy robót objętych Załącznikiem „A”.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4.2 Do oferty Wykonawca musi załączyć wypełniony kosztorys, na podstawie załączonego przedmiaru robót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5..Realizacja robót: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Wykonawca zobowiązuje się wykonać roboty z zachowaniem należytej staranności, zasad              bezpieczeństwa, dobrej jakości, właściwej organizacji pracy, zasad wiedzy technicznej, obowiązujących   norm oraz przepisów prawa, w szczególności ustawy z dn</w:t>
      </w:r>
      <w:r>
        <w:rPr>
          <w:rFonts w:ascii="Arial" w:eastAsia="Arial" w:hAnsi="Arial" w:cs="Arial"/>
          <w:color w:val="000000"/>
        </w:rPr>
        <w:t>ia 7 lipca 1994r. Prawo Budowlane</w:t>
      </w:r>
    </w:p>
    <w:p w:rsidR="007874C8" w:rsidRDefault="00A178D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Wykonawca robót zobowiązany jest do: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  Organizacji, utrzymania i zabezpieczenia terenu robót z zapleczem socjalnym i technicznym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wraz z wykonaniem dla celów rekonstrukcji przyłączy  tymczasowych zasilający</w:t>
      </w:r>
      <w:r>
        <w:rPr>
          <w:rFonts w:ascii="Arial" w:eastAsia="Arial" w:hAnsi="Arial" w:cs="Arial"/>
          <w:color w:val="000000"/>
        </w:rPr>
        <w:t xml:space="preserve">ch w niezbędne                                      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media z ich pomiarem oraz zapewnienie odpowiedniej ilości pracowników przewidzianych do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realizacji robót.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5.2.2 Stałego utrzymania terenu robót w czystości, us</w:t>
      </w:r>
      <w:r>
        <w:rPr>
          <w:rFonts w:ascii="Arial" w:eastAsia="Arial" w:hAnsi="Arial" w:cs="Arial"/>
          <w:color w:val="000000"/>
        </w:rPr>
        <w:t>uwanie gruzu i odpadów.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5.2.3 Ochrony mienia na terenie robót do czasu przekazania go do użytkowania, utrzymanie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czystości na terenach przyległych do terenu robót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5.2.4 Zminimalizowania uciążliwego wpływu prowadzonych robót na otaczające środow</w:t>
      </w:r>
      <w:r>
        <w:rPr>
          <w:rFonts w:ascii="Arial" w:eastAsia="Arial" w:hAnsi="Arial" w:cs="Arial"/>
          <w:color w:val="000000"/>
        </w:rPr>
        <w:t xml:space="preserve">isko i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użytkowników okolicznych obiektów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5.2.5 Naprawienia na własny koszt i doprowadzenie do stanu poprzedniego ewentualnych szkód.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5.2.6 Prowadzenia robót zgodnie z obowiązującymi warunkami technicznymi wykonania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I odbioru robót w zgodności z obowiązującymi normami technicznymi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5.2.7 Posiadania na każdy wbudowany materiał deklaracji właściwości użytkowych, krajowej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oceny technicznej lub certyfikatu świadczącego o jego jakości zgodnie z wymogam</w:t>
      </w:r>
      <w:r>
        <w:rPr>
          <w:rFonts w:ascii="Arial" w:eastAsia="Arial" w:hAnsi="Arial" w:cs="Arial"/>
          <w:color w:val="000000"/>
        </w:rPr>
        <w:t>i Prawa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Budowlanego                        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5.2.8 Materiały do wbudowania muszą być przedłożone Zamawiającemu wraz z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r>
        <w:rPr>
          <w:rFonts w:ascii="Arial" w:eastAsia="Arial" w:hAnsi="Arial" w:cs="Arial"/>
          <w:color w:val="000000"/>
          <w:u w:val="single"/>
        </w:rPr>
        <w:t>certyfikatami zgodności</w:t>
      </w:r>
      <w:r>
        <w:rPr>
          <w:rFonts w:ascii="Arial" w:eastAsia="Arial" w:hAnsi="Arial" w:cs="Arial"/>
          <w:color w:val="000000"/>
        </w:rPr>
        <w:t xml:space="preserve"> i innymi wymaganymi dokumentami dopuszczającymi do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stosowania w budownictwie, a pozyskaniu aprobaty na KM (Karcie Materiałowej-  Załącznik Nr 5)                    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mogą być użyte do montażu. Zamawiający może, według swojego uznania, odstąpić od wymogu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przedło</w:t>
      </w:r>
      <w:r>
        <w:rPr>
          <w:rFonts w:ascii="Arial" w:eastAsia="Arial" w:hAnsi="Arial" w:cs="Arial"/>
          <w:color w:val="000000"/>
        </w:rPr>
        <w:t xml:space="preserve">żenia certyfikatu zgodności i dopuścić zastosowanie materiału posiadającego właściwości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użytkowe..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5.2.9 Kierowania robotami przez personel posiadający stosowne do zakresów wykonywanych robót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        Uprawnienia i posiadających aktualne zaświadczenia o przynależności do Okręgowych Izb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Inżynierów Budownictwa.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5.2.10 Przeprowadzania w trakcie remontu stosownych badań dokumentujących zachowanie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prawidłowego procesu techno</w:t>
      </w:r>
      <w:r>
        <w:rPr>
          <w:rFonts w:ascii="Arial" w:eastAsia="Arial" w:hAnsi="Arial" w:cs="Arial"/>
          <w:color w:val="000000"/>
        </w:rPr>
        <w:t xml:space="preserve">logii robót..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5.2.11. Dokonywać wszelkich niezbędnych uzgodnień z Zamawiającym.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5.2.12 Zgłoszenia do wcześniejszego odbioru wszelkich elementów ulegających zakryciu.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5.2.13 Zgłoszenia do odbioru końcowego wykonanych elementów robót z </w:t>
      </w:r>
      <w:r>
        <w:rPr>
          <w:rFonts w:ascii="Arial" w:eastAsia="Arial" w:hAnsi="Arial" w:cs="Arial"/>
          <w:color w:val="000000"/>
        </w:rPr>
        <w:t>uwzględnieniem poniższych:</w:t>
      </w:r>
    </w:p>
    <w:p w:rsidR="007874C8" w:rsidRDefault="00A17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należy przedłożyć niezbędne dokumenty dotyczące zastosowanych materiałów: certyfikaty, atesty, deklaracje właściwości technicznych</w:t>
      </w:r>
    </w:p>
    <w:p w:rsidR="007874C8" w:rsidRDefault="00A17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dla poszczególnych etapów realizacji zadania należy wykonać dokumentację fotograficzną również prz</w:t>
      </w:r>
      <w:r>
        <w:rPr>
          <w:rFonts w:ascii="Arial" w:eastAsia="Arial" w:hAnsi="Arial" w:cs="Arial"/>
          <w:color w:val="000000"/>
        </w:rPr>
        <w:t>ed przystąpieniem do prac rozbiórkowych</w:t>
      </w:r>
    </w:p>
    <w:p w:rsidR="007874C8" w:rsidRDefault="00A17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po zakończeniu wszystkich prac należy uporządkować miejsce prowadzenia robót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6Terminy wykonania zamówienia: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- Rozpoczęcie robót  najwcześniej 1-go si</w:t>
      </w:r>
      <w:r>
        <w:rPr>
          <w:rFonts w:ascii="Arial" w:eastAsia="Arial" w:hAnsi="Arial" w:cs="Arial"/>
          <w:color w:val="000000"/>
        </w:rPr>
        <w:t>erpnia br.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-Zakończenie całości robót, najpóźniej do 31-go sierpnia br.  zatwierdzone protokołem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końcowym odbioru robót nie zawierającym wad o których mowa &amp; 10 ust 4 umowy.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7.Uwagi Końcowe 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7.1.Wykonawca zobowiązany jest w okresie trwania gwarancji przystąpić do usunięcia wad/usterek Przedmiotu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umowy   7 dni od dnia zgłoszenia za pośrednictwem faksu lub poczty elektronicznej, chyba, że Zamawiający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ustali inny , dłuższy termi</w:t>
      </w:r>
      <w:r>
        <w:rPr>
          <w:rFonts w:ascii="Arial" w:eastAsia="Arial" w:hAnsi="Arial" w:cs="Arial"/>
          <w:color w:val="000000"/>
        </w:rPr>
        <w:t>n</w:t>
      </w:r>
    </w:p>
    <w:p w:rsidR="007874C8" w:rsidRDefault="00A178D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 przypadku nie przystąpienia do usuwania usterek w ww. terminie, Zamawiający zleci bez powiadomienia, zastępcze wykonanie robót, których faktyczny koszt poniesie Wykonawca w formie potrącenia należności z tytułu zwrotu zabezpieczenia właściwego usunięc</w:t>
      </w:r>
      <w:r>
        <w:rPr>
          <w:rFonts w:ascii="Arial" w:eastAsia="Arial" w:hAnsi="Arial" w:cs="Arial"/>
          <w:color w:val="000000"/>
        </w:rPr>
        <w:t>ia wad i usterek, bądź w formie zapłaty roszczenia w ramach udzielonej gwarancji  ubezpieczeniowej / bankowej.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7.3 Wraz ze składaną fakturą należy złożyć stosowne oświadczenia: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braku Podwykonawców – podpisane przez Wykonawcę i składane w sytuacji gdy przy realizacji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danego zakresu robót nie zatrudniał żadnych Podwykonawców,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-końcowe Podwykonawców oraz dalszych Podwykonawców – podpisane odpowiednio przez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   Podwykonawców oraz dalszych Podwykonawców, i składane w sytuacji, gdy dany Podwykonawca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lub dalszy Podwykonawca zakończył w całości powierzony mu do wykonania zakres prac i został w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    całości rozliczony z Generalnym Wykonawcą/Podwykonawcą/Dals</w:t>
      </w:r>
      <w:r>
        <w:rPr>
          <w:rFonts w:ascii="Arial" w:eastAsia="Arial" w:hAnsi="Arial" w:cs="Arial"/>
          <w:color w:val="000000"/>
        </w:rPr>
        <w:t>zym Podwykonawcą,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-o braku innych podwykonawców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Wzory ww. oświadczeń stanowią załączniki do niniejszego Opisu Przedmiotu Zamówienia.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 8. Szczegółowych informacji o przedmiocie zamówienia udzielać będzie: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   -w zakresie techniczno-realizacyjnym: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Jerzy Nowak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tel. (22) 70-17-665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 9. Załączniki: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Przedmiar robót – Załącznik nr 1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Wzór oświadczenia o braku podwykonawców-Załącznik nr 2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Wzór oświadczenia o braku innych podwykonawców-Załącznik nr 3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>
        <w:rPr>
          <w:rFonts w:ascii="Arial" w:eastAsia="Arial" w:hAnsi="Arial" w:cs="Arial"/>
          <w:color w:val="000000"/>
        </w:rPr>
        <w:t xml:space="preserve">     Wzór oświadczenia końcowego-Załącznik nr 4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Wzór karty materiałowej-Załącznik nr 5</w:t>
      </w:r>
    </w:p>
    <w:sectPr w:rsidR="007874C8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8D8" w:rsidRDefault="00A178D8">
      <w:r>
        <w:separator/>
      </w:r>
    </w:p>
  </w:endnote>
  <w:endnote w:type="continuationSeparator" w:id="0">
    <w:p w:rsidR="00A178D8" w:rsidRDefault="00A1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C8" w:rsidRDefault="00A178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Strona 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PAGE</w:instrText>
    </w:r>
    <w:r w:rsidR="00AC2061"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AC2061">
      <w:rPr>
        <w:rFonts w:ascii="Calibri" w:eastAsia="Calibri" w:hAnsi="Calibri" w:cs="Calibri"/>
        <w:b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z 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NUMPAGES</w:instrText>
    </w:r>
    <w:r w:rsidR="00AC2061"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AC2061">
      <w:rPr>
        <w:rFonts w:ascii="Calibri" w:eastAsia="Calibri" w:hAnsi="Calibri" w:cs="Calibri"/>
        <w:b/>
        <w:noProof/>
        <w:color w:val="000000"/>
        <w:sz w:val="24"/>
        <w:szCs w:val="24"/>
      </w:rPr>
      <w:t>5</w:t>
    </w:r>
    <w:r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</w:p>
  <w:p w:rsidR="007874C8" w:rsidRDefault="00787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8D8" w:rsidRDefault="00A178D8">
      <w:r>
        <w:separator/>
      </w:r>
    </w:p>
  </w:footnote>
  <w:footnote w:type="continuationSeparator" w:id="0">
    <w:p w:rsidR="00A178D8" w:rsidRDefault="00A1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30F47"/>
    <w:multiLevelType w:val="multilevel"/>
    <w:tmpl w:val="AF22402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C578E3"/>
    <w:multiLevelType w:val="multilevel"/>
    <w:tmpl w:val="DE32BFB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" w15:restartNumberingAfterBreak="0">
    <w:nsid w:val="342F3741"/>
    <w:multiLevelType w:val="multilevel"/>
    <w:tmpl w:val="F1BC6D38"/>
    <w:lvl w:ilvl="0">
      <w:start w:val="2"/>
      <w:numFmt w:val="decimal"/>
      <w:lvlText w:val="%1"/>
      <w:lvlJc w:val="left"/>
      <w:pPr>
        <w:ind w:left="435" w:hanging="435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757" w:hanging="43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vertAlign w:val="baseline"/>
      </w:rPr>
    </w:lvl>
  </w:abstractNum>
  <w:abstractNum w:abstractNumId="3" w15:restartNumberingAfterBreak="0">
    <w:nsid w:val="3C111F1A"/>
    <w:multiLevelType w:val="multilevel"/>
    <w:tmpl w:val="B85057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BB5178C"/>
    <w:multiLevelType w:val="multilevel"/>
    <w:tmpl w:val="28B4EA80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vertAlign w:val="baseline"/>
      </w:rPr>
    </w:lvl>
  </w:abstractNum>
  <w:abstractNum w:abstractNumId="5" w15:restartNumberingAfterBreak="0">
    <w:nsid w:val="5A094B97"/>
    <w:multiLevelType w:val="multilevel"/>
    <w:tmpl w:val="532885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E9A7475"/>
    <w:multiLevelType w:val="multilevel"/>
    <w:tmpl w:val="037272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ascii="Arial" w:eastAsia="Arial" w:hAnsi="Arial" w:cs="Arial"/>
        <w:b w:val="0"/>
        <w:strike w:val="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D4B69E0"/>
    <w:multiLevelType w:val="multilevel"/>
    <w:tmpl w:val="0A3E6782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C8"/>
    <w:rsid w:val="007874C8"/>
    <w:rsid w:val="00A178D8"/>
    <w:rsid w:val="00A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311FB-2193-4E9D-AA89-35C48338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Karolina</cp:lastModifiedBy>
  <cp:revision>2</cp:revision>
  <dcterms:created xsi:type="dcterms:W3CDTF">2018-05-28T07:41:00Z</dcterms:created>
  <dcterms:modified xsi:type="dcterms:W3CDTF">2018-05-28T07:41:00Z</dcterms:modified>
</cp:coreProperties>
</file>