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E76D4C">
        <w:rPr>
          <w:rFonts w:ascii="Times New Roman" w:eastAsia="HG Mincho Light J" w:hAnsi="Times New Roman" w:cs="Times New Roman"/>
          <w:sz w:val="24"/>
          <w:szCs w:val="20"/>
          <w:lang w:eastAsia="ar-SA"/>
        </w:rPr>
        <w:t>1/2021</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926827">
        <w:rPr>
          <w:rFonts w:ascii="Times New Roman" w:eastAsia="Times New Roman" w:hAnsi="Times New Roman" w:cs="Times New Roman"/>
          <w:szCs w:val="24"/>
          <w:lang w:eastAsia="ar-SA"/>
        </w:rPr>
        <w:t>0</w:t>
      </w:r>
      <w:r w:rsidR="00E76D4C">
        <w:rPr>
          <w:rFonts w:ascii="Times New Roman" w:eastAsia="Times New Roman" w:hAnsi="Times New Roman" w:cs="Times New Roman"/>
          <w:szCs w:val="24"/>
          <w:lang w:eastAsia="ar-SA"/>
        </w:rPr>
        <w:t>4.01.2021</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urzędowania: od poniedziałku do piątku: 8</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926827">
        <w:rPr>
          <w:rFonts w:ascii="Times New Roman" w:eastAsia="Times New Roman" w:hAnsi="Times New Roman" w:cs="Times New Roman"/>
          <w:color w:val="000000"/>
          <w:sz w:val="24"/>
          <w:szCs w:val="20"/>
          <w:lang w:eastAsia="ar-SA"/>
        </w:rPr>
        <w:t>1</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21</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926827">
        <w:rPr>
          <w:rFonts w:ascii="Times New Roman" w:eastAsia="Times New Roman" w:hAnsi="Times New Roman" w:cs="Times New Roman"/>
          <w:sz w:val="24"/>
          <w:szCs w:val="24"/>
          <w:lang w:eastAsia="ar-SA"/>
        </w:rPr>
        <w:t>0</w:t>
      </w:r>
      <w:r w:rsidR="00E76D4C">
        <w:rPr>
          <w:rFonts w:ascii="Times New Roman" w:eastAsia="Times New Roman" w:hAnsi="Times New Roman" w:cs="Times New Roman"/>
          <w:sz w:val="24"/>
          <w:szCs w:val="24"/>
          <w:lang w:eastAsia="ar-SA"/>
        </w:rPr>
        <w:t>4</w:t>
      </w:r>
      <w:r w:rsidR="00926827">
        <w:rPr>
          <w:rFonts w:ascii="Times New Roman" w:eastAsia="Times New Roman" w:hAnsi="Times New Roman" w:cs="Times New Roman"/>
          <w:sz w:val="24"/>
          <w:szCs w:val="24"/>
          <w:lang w:eastAsia="ar-SA"/>
        </w:rPr>
        <w:t>.01.2020</w:t>
      </w:r>
      <w:r w:rsidR="00E76D4C">
        <w:rPr>
          <w:rFonts w:ascii="Times New Roman" w:eastAsia="Times New Roman" w:hAnsi="Times New Roman" w:cs="Times New Roman"/>
          <w:sz w:val="24"/>
          <w:szCs w:val="24"/>
          <w:lang w:eastAsia="ar-SA"/>
        </w:rPr>
        <w:t>. do 18</w:t>
      </w:r>
      <w:r w:rsidR="00926827">
        <w:rPr>
          <w:rFonts w:ascii="Times New Roman" w:eastAsia="Times New Roman" w:hAnsi="Times New Roman" w:cs="Times New Roman"/>
          <w:sz w:val="24"/>
          <w:szCs w:val="24"/>
          <w:lang w:eastAsia="ar-SA"/>
        </w:rPr>
        <w:t>.01.202</w:t>
      </w:r>
      <w:r w:rsidR="00E76D4C">
        <w:rPr>
          <w:rFonts w:ascii="Times New Roman" w:eastAsia="Times New Roman" w:hAnsi="Times New Roman" w:cs="Times New Roman"/>
          <w:sz w:val="24"/>
          <w:szCs w:val="24"/>
          <w:lang w:eastAsia="ar-SA"/>
        </w:rPr>
        <w:t>1</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926827">
        <w:rPr>
          <w:rFonts w:ascii="Times New Roman" w:eastAsia="Times New Roman" w:hAnsi="Times New Roman" w:cs="Times New Roman"/>
          <w:sz w:val="24"/>
          <w:szCs w:val="24"/>
          <w:lang w:eastAsia="ar-SA"/>
        </w:rPr>
        <w:t>1</w:t>
      </w:r>
      <w:r w:rsidR="00E76D4C">
        <w:rPr>
          <w:rFonts w:ascii="Times New Roman" w:eastAsia="Times New Roman" w:hAnsi="Times New Roman" w:cs="Times New Roman"/>
          <w:sz w:val="24"/>
          <w:szCs w:val="24"/>
          <w:lang w:eastAsia="ar-SA"/>
        </w:rPr>
        <w:t>8</w:t>
      </w:r>
      <w:r w:rsidR="00926827">
        <w:rPr>
          <w:rFonts w:ascii="Times New Roman" w:eastAsia="Times New Roman" w:hAnsi="Times New Roman" w:cs="Times New Roman"/>
          <w:sz w:val="24"/>
          <w:szCs w:val="24"/>
          <w:lang w:eastAsia="ar-SA"/>
        </w:rPr>
        <w:t>.01.202</w:t>
      </w:r>
      <w:r w:rsidR="00E76D4C">
        <w:rPr>
          <w:rFonts w:ascii="Times New Roman" w:eastAsia="Times New Roman" w:hAnsi="Times New Roman" w:cs="Times New Roman"/>
          <w:sz w:val="24"/>
          <w:szCs w:val="24"/>
          <w:lang w:eastAsia="ar-SA"/>
        </w:rPr>
        <w:t>1</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xml:space="preserve">, Mirosława </w:t>
      </w:r>
      <w:proofErr w:type="spellStart"/>
      <w:r w:rsidR="00C033A0" w:rsidRPr="00C033A0">
        <w:rPr>
          <w:rFonts w:ascii="Times New Roman" w:eastAsia="Times New Roman" w:hAnsi="Times New Roman" w:cs="Times New Roman"/>
          <w:color w:val="000000"/>
          <w:sz w:val="24"/>
          <w:szCs w:val="20"/>
          <w:lang w:eastAsia="ar-SA"/>
        </w:rPr>
        <w:t>Brzoskowska</w:t>
      </w:r>
      <w:proofErr w:type="spellEnd"/>
      <w:r w:rsidR="00C033A0" w:rsidRPr="00C033A0">
        <w:rPr>
          <w:rFonts w:ascii="Times New Roman" w:eastAsia="Times New Roman" w:hAnsi="Times New Roman" w:cs="Times New Roman"/>
          <w:color w:val="000000"/>
          <w:sz w:val="24"/>
          <w:szCs w:val="20"/>
          <w:lang w:eastAsia="ar-SA"/>
        </w:rPr>
        <w:t xml:space="preserve">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E76D4C">
        <w:rPr>
          <w:rFonts w:ascii="Times New Roman" w:eastAsia="Times New Roman" w:hAnsi="Times New Roman" w:cs="Times New Roman"/>
          <w:color w:val="000000"/>
          <w:sz w:val="24"/>
          <w:szCs w:val="24"/>
          <w:lang w:eastAsia="ar-SA"/>
        </w:rPr>
        <w:t>1</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033A0"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Ewą Brzóska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926827">
        <w:rPr>
          <w:rFonts w:ascii="Times New Roman" w:eastAsia="Times New Roman" w:hAnsi="Times New Roman" w:cs="Times New Roman"/>
          <w:color w:val="000000"/>
          <w:sz w:val="24"/>
          <w:szCs w:val="20"/>
          <w:lang w:eastAsia="ar-SA"/>
        </w:rPr>
        <w:t>1/202</w:t>
      </w:r>
      <w:r w:rsidR="00E76D4C">
        <w:rPr>
          <w:rFonts w:ascii="Times New Roman" w:eastAsia="Times New Roman" w:hAnsi="Times New Roman" w:cs="Times New Roman"/>
          <w:color w:val="000000"/>
          <w:sz w:val="24"/>
          <w:szCs w:val="20"/>
          <w:lang w:eastAsia="ar-SA"/>
        </w:rPr>
        <w:t>1</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926827">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E76D4C">
        <w:rPr>
          <w:rFonts w:ascii="Times New Roman" w:eastAsia="Times New Roman" w:hAnsi="Times New Roman" w:cs="Times New Roman"/>
          <w:color w:val="000000"/>
          <w:sz w:val="24"/>
          <w:szCs w:val="24"/>
          <w:lang w:eastAsia="ar-SA"/>
        </w:rPr>
        <w:t>1</w:t>
      </w:r>
      <w:r w:rsidRPr="00C033A0">
        <w:rPr>
          <w:rFonts w:ascii="Times New Roman" w:eastAsia="Times New Roman" w:hAnsi="Times New Roman" w:cs="Times New Roman"/>
          <w:color w:val="000000"/>
          <w:sz w:val="24"/>
          <w:szCs w:val="24"/>
          <w:lang w:eastAsia="ar-SA"/>
        </w:rPr>
        <w:t>r. do 31.12.20</w:t>
      </w:r>
      <w:r w:rsidR="00F25399">
        <w:rPr>
          <w:rFonts w:ascii="Times New Roman" w:eastAsia="Times New Roman" w:hAnsi="Times New Roman" w:cs="Times New Roman"/>
          <w:color w:val="000000"/>
          <w:sz w:val="24"/>
          <w:szCs w:val="24"/>
          <w:lang w:eastAsia="ar-SA"/>
        </w:rPr>
        <w:t>2</w:t>
      </w:r>
      <w:r w:rsidR="00E76D4C">
        <w:rPr>
          <w:rFonts w:ascii="Times New Roman" w:eastAsia="Times New Roman" w:hAnsi="Times New Roman" w:cs="Times New Roman"/>
          <w:color w:val="000000"/>
          <w:sz w:val="24"/>
          <w:szCs w:val="24"/>
          <w:lang w:eastAsia="ar-SA"/>
        </w:rPr>
        <w:t>1</w:t>
      </w:r>
      <w:bookmarkStart w:id="1" w:name="_GoBack"/>
      <w:bookmarkEnd w:id="1"/>
      <w:r w:rsidRPr="00C033A0">
        <w:rPr>
          <w:rFonts w:ascii="Times New Roman" w:eastAsia="Times New Roman" w:hAnsi="Times New Roman" w:cs="Times New Roman"/>
          <w:color w:val="000000"/>
          <w:sz w:val="24"/>
          <w:szCs w:val="24"/>
          <w:lang w:eastAsia="ar-SA"/>
        </w:rPr>
        <w:t xml:space="preserve">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A239AD"/>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AD" w:rsidRDefault="00A239AD">
      <w:pPr>
        <w:spacing w:after="0" w:line="240" w:lineRule="auto"/>
      </w:pPr>
      <w:r>
        <w:separator/>
      </w:r>
    </w:p>
  </w:endnote>
  <w:endnote w:type="continuationSeparator" w:id="0">
    <w:p w:rsidR="00A239AD" w:rsidRDefault="00A2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A239A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A239AD" w:rsidP="00E063F5">
    <w:pPr>
      <w:pStyle w:val="Stopka"/>
      <w:jc w:val="center"/>
      <w:rPr>
        <w:rFonts w:ascii="Gabriola" w:hAnsi="Gabriola"/>
        <w:i/>
        <w:sz w:val="22"/>
        <w:szCs w:val="22"/>
      </w:rPr>
    </w:pPr>
  </w:p>
  <w:p w:rsidR="0055010A" w:rsidRPr="00A1318C" w:rsidRDefault="00A239AD"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E76D4C">
      <w:rPr>
        <w:noProof/>
        <w:sz w:val="20"/>
      </w:rPr>
      <w:t>18</w:t>
    </w:r>
    <w:r w:rsidRPr="00A1318C">
      <w:rPr>
        <w:sz w:val="20"/>
      </w:rPr>
      <w:fldChar w:fldCharType="end"/>
    </w:r>
  </w:p>
  <w:p w:rsidR="0055010A" w:rsidRDefault="00A239AD"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A239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AD" w:rsidRDefault="00A239AD">
      <w:pPr>
        <w:spacing w:after="0" w:line="240" w:lineRule="auto"/>
      </w:pPr>
      <w:r>
        <w:separator/>
      </w:r>
    </w:p>
  </w:footnote>
  <w:footnote w:type="continuationSeparator" w:id="0">
    <w:p w:rsidR="00A239AD" w:rsidRDefault="00A23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A239AD"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2C1649"/>
    <w:rsid w:val="00425B9A"/>
    <w:rsid w:val="005104B4"/>
    <w:rsid w:val="00926827"/>
    <w:rsid w:val="00A239AD"/>
    <w:rsid w:val="00B93A57"/>
    <w:rsid w:val="00BC4453"/>
    <w:rsid w:val="00C033A0"/>
    <w:rsid w:val="00CD6476"/>
    <w:rsid w:val="00DB1EAF"/>
    <w:rsid w:val="00E76D4C"/>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6619</Words>
  <Characters>39718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serwis</cp:lastModifiedBy>
  <cp:revision>7</cp:revision>
  <cp:lastPrinted>2020-01-03T11:25:00Z</cp:lastPrinted>
  <dcterms:created xsi:type="dcterms:W3CDTF">2020-01-03T11:30:00Z</dcterms:created>
  <dcterms:modified xsi:type="dcterms:W3CDTF">2021-01-04T11:50:00Z</dcterms:modified>
</cp:coreProperties>
</file>