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E2B" w:rsidRDefault="009F0E2B" w:rsidP="009F0E2B">
      <w:pPr>
        <w:jc w:val="center"/>
        <w:rPr>
          <w:sz w:val="28"/>
        </w:rPr>
      </w:pPr>
      <w:bookmarkStart w:id="0" w:name="_GoBack"/>
      <w:bookmarkEnd w:id="0"/>
      <w:r>
        <w:rPr>
          <w:sz w:val="28"/>
        </w:rPr>
        <w:t>SZCZEGÓŁOWA SPECYFIKACJA TECHNICZNA</w:t>
      </w:r>
    </w:p>
    <w:p w:rsidR="009F0E2B" w:rsidRDefault="009F0E2B" w:rsidP="009F0E2B">
      <w:pPr>
        <w:pStyle w:val="Nagwek1"/>
      </w:pPr>
      <w:r>
        <w:t>WYKONANIA I ODBIORU ROBÓT BUD</w:t>
      </w:r>
      <w:r w:rsidR="00236880">
        <w:t>O</w:t>
      </w:r>
      <w:r>
        <w:t>WLANYCH</w:t>
      </w:r>
    </w:p>
    <w:p w:rsidR="009F0E2B" w:rsidRDefault="009F0E2B" w:rsidP="009F0E2B">
      <w:pPr>
        <w:jc w:val="center"/>
      </w:pPr>
    </w:p>
    <w:p w:rsidR="009F0E2B" w:rsidRDefault="009F0E2B" w:rsidP="009F0E2B">
      <w:pPr>
        <w:jc w:val="center"/>
      </w:pPr>
    </w:p>
    <w:p w:rsidR="009F0E2B" w:rsidRDefault="009F0E2B" w:rsidP="009F0E2B">
      <w:pPr>
        <w:jc w:val="center"/>
      </w:pPr>
    </w:p>
    <w:p w:rsidR="009F0E2B" w:rsidRDefault="009F0E2B" w:rsidP="009F0E2B">
      <w:pPr>
        <w:jc w:val="center"/>
      </w:pPr>
    </w:p>
    <w:p w:rsidR="009F0E2B" w:rsidRDefault="009F0E2B" w:rsidP="009F0E2B">
      <w:pPr>
        <w:jc w:val="center"/>
      </w:pPr>
    </w:p>
    <w:p w:rsidR="009F0E2B" w:rsidRDefault="009F0E2B" w:rsidP="009F0E2B">
      <w:pPr>
        <w:pStyle w:val="Nagwek2"/>
        <w:jc w:val="left"/>
      </w:pPr>
      <w:r>
        <w:t>S.01.2 Podłogi i posadzk</w:t>
      </w:r>
      <w:r w:rsidR="00236880">
        <w:t>i –Wykładziny PCV TARKETT  CENTRA 43</w:t>
      </w:r>
    </w:p>
    <w:p w:rsidR="009F0E2B" w:rsidRDefault="009F0E2B" w:rsidP="009F0E2B">
      <w:pPr>
        <w:rPr>
          <w:b/>
          <w:bCs/>
          <w:sz w:val="28"/>
        </w:rPr>
      </w:pPr>
    </w:p>
    <w:p w:rsidR="009F0E2B" w:rsidRDefault="009F0E2B" w:rsidP="009F0E2B">
      <w:pPr>
        <w:pStyle w:val="Nagwek2"/>
      </w:pPr>
    </w:p>
    <w:p w:rsidR="009F0E2B" w:rsidRDefault="00236880" w:rsidP="009F0E2B">
      <w:pPr>
        <w:pStyle w:val="Nagwek2"/>
      </w:pPr>
      <w:r>
        <w:t xml:space="preserve">Zespół Placówek </w:t>
      </w:r>
      <w:proofErr w:type="spellStart"/>
      <w:r>
        <w:t>Szkolno</w:t>
      </w:r>
      <w:proofErr w:type="spellEnd"/>
      <w:r>
        <w:t xml:space="preserve"> Wychowawczych</w:t>
      </w:r>
    </w:p>
    <w:p w:rsidR="009F0E2B" w:rsidRDefault="009F0E2B" w:rsidP="009F0E2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ul. </w:t>
      </w:r>
      <w:r w:rsidR="00236880">
        <w:rPr>
          <w:b/>
          <w:bCs/>
          <w:sz w:val="28"/>
        </w:rPr>
        <w:t>Sportowa 1</w:t>
      </w:r>
    </w:p>
    <w:p w:rsidR="009F0E2B" w:rsidRDefault="00236880" w:rsidP="009F0E2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67-200 Głogów</w:t>
      </w:r>
    </w:p>
    <w:p w:rsidR="009F0E2B" w:rsidRDefault="009F0E2B" w:rsidP="009F0E2B">
      <w:pPr>
        <w:rPr>
          <w:b/>
          <w:bCs/>
          <w:sz w:val="28"/>
        </w:rPr>
      </w:pPr>
    </w:p>
    <w:p w:rsidR="009F0E2B" w:rsidRDefault="009F0E2B" w:rsidP="009F0E2B">
      <w:pPr>
        <w:pStyle w:val="Nagwek2"/>
      </w:pPr>
      <w:r>
        <w:t xml:space="preserve">Spis treści </w:t>
      </w:r>
    </w:p>
    <w:p w:rsidR="009F0E2B" w:rsidRDefault="009F0E2B" w:rsidP="009F0E2B"/>
    <w:p w:rsidR="009F0E2B" w:rsidRDefault="009F0E2B" w:rsidP="009F0E2B"/>
    <w:p w:rsidR="009F0E2B" w:rsidRDefault="009F0E2B" w:rsidP="009F0E2B"/>
    <w:p w:rsidR="009F0E2B" w:rsidRDefault="009F0E2B" w:rsidP="009F0E2B">
      <w:pPr>
        <w:numPr>
          <w:ilvl w:val="0"/>
          <w:numId w:val="1"/>
        </w:numPr>
      </w:pPr>
      <w:r>
        <w:t>Wstęp</w:t>
      </w:r>
    </w:p>
    <w:p w:rsidR="009F0E2B" w:rsidRDefault="009F0E2B" w:rsidP="009F0E2B"/>
    <w:p w:rsidR="009F0E2B" w:rsidRDefault="009F0E2B" w:rsidP="009F0E2B">
      <w:r>
        <w:t>1.1</w:t>
      </w:r>
      <w:r>
        <w:tab/>
        <w:t xml:space="preserve">Przedmiot specyfikacji </w:t>
      </w:r>
    </w:p>
    <w:p w:rsidR="009F0E2B" w:rsidRDefault="009F0E2B" w:rsidP="009F0E2B"/>
    <w:p w:rsidR="009F0E2B" w:rsidRDefault="009F0E2B" w:rsidP="009F0E2B">
      <w:r>
        <w:t>1.2</w:t>
      </w:r>
      <w:r>
        <w:tab/>
        <w:t>Zakres stosowania specyfikacji</w:t>
      </w:r>
    </w:p>
    <w:p w:rsidR="009F0E2B" w:rsidRDefault="009F0E2B" w:rsidP="009F0E2B"/>
    <w:p w:rsidR="009F0E2B" w:rsidRDefault="009F0E2B" w:rsidP="009F0E2B">
      <w:r>
        <w:t>1.3</w:t>
      </w:r>
      <w:r>
        <w:tab/>
        <w:t>Zakres robót objętych w specyfikacji</w:t>
      </w:r>
    </w:p>
    <w:p w:rsidR="009F0E2B" w:rsidRDefault="009F0E2B" w:rsidP="009F0E2B"/>
    <w:p w:rsidR="009F0E2B" w:rsidRDefault="009F0E2B" w:rsidP="009F0E2B">
      <w:pPr>
        <w:numPr>
          <w:ilvl w:val="1"/>
          <w:numId w:val="5"/>
        </w:numPr>
      </w:pPr>
      <w:r>
        <w:t>Określenia podstawowe</w:t>
      </w:r>
    </w:p>
    <w:p w:rsidR="009F0E2B" w:rsidRDefault="009F0E2B" w:rsidP="009F0E2B"/>
    <w:p w:rsidR="009F0E2B" w:rsidRDefault="009F0E2B" w:rsidP="009F0E2B">
      <w:pPr>
        <w:numPr>
          <w:ilvl w:val="0"/>
          <w:numId w:val="1"/>
        </w:numPr>
      </w:pPr>
      <w:r>
        <w:t>Materiały</w:t>
      </w:r>
    </w:p>
    <w:p w:rsidR="009F0E2B" w:rsidRDefault="009F0E2B" w:rsidP="009F0E2B"/>
    <w:p w:rsidR="009F0E2B" w:rsidRDefault="009F0E2B" w:rsidP="009F0E2B">
      <w:pPr>
        <w:numPr>
          <w:ilvl w:val="0"/>
          <w:numId w:val="1"/>
        </w:numPr>
      </w:pPr>
      <w:r>
        <w:t>Sprzęt</w:t>
      </w:r>
    </w:p>
    <w:p w:rsidR="009F0E2B" w:rsidRDefault="009F0E2B" w:rsidP="009F0E2B"/>
    <w:p w:rsidR="009F0E2B" w:rsidRDefault="009F0E2B" w:rsidP="009F0E2B">
      <w:pPr>
        <w:numPr>
          <w:ilvl w:val="0"/>
          <w:numId w:val="1"/>
        </w:numPr>
      </w:pPr>
      <w:r>
        <w:t>Transport</w:t>
      </w:r>
    </w:p>
    <w:p w:rsidR="009F0E2B" w:rsidRDefault="009F0E2B" w:rsidP="009F0E2B"/>
    <w:p w:rsidR="009F0E2B" w:rsidRDefault="009F0E2B" w:rsidP="009F0E2B">
      <w:pPr>
        <w:numPr>
          <w:ilvl w:val="0"/>
          <w:numId w:val="1"/>
        </w:numPr>
      </w:pPr>
      <w:r>
        <w:t>Wykonanie robót</w:t>
      </w:r>
    </w:p>
    <w:p w:rsidR="009F0E2B" w:rsidRDefault="009F0E2B" w:rsidP="009F0E2B"/>
    <w:p w:rsidR="009F0E2B" w:rsidRDefault="009F0E2B" w:rsidP="009F0E2B">
      <w:pPr>
        <w:numPr>
          <w:ilvl w:val="0"/>
          <w:numId w:val="1"/>
        </w:numPr>
      </w:pPr>
      <w:r>
        <w:t xml:space="preserve">Kontrola jakości </w:t>
      </w:r>
    </w:p>
    <w:p w:rsidR="009F0E2B" w:rsidRDefault="009F0E2B" w:rsidP="009F0E2B"/>
    <w:p w:rsidR="009F0E2B" w:rsidRDefault="009F0E2B" w:rsidP="009F0E2B">
      <w:pPr>
        <w:numPr>
          <w:ilvl w:val="0"/>
          <w:numId w:val="1"/>
        </w:numPr>
      </w:pPr>
      <w:r>
        <w:t>Obmiar robót</w:t>
      </w:r>
    </w:p>
    <w:p w:rsidR="009F0E2B" w:rsidRDefault="009F0E2B" w:rsidP="009F0E2B"/>
    <w:p w:rsidR="009F0E2B" w:rsidRDefault="009F0E2B" w:rsidP="009F0E2B">
      <w:pPr>
        <w:numPr>
          <w:ilvl w:val="0"/>
          <w:numId w:val="1"/>
        </w:numPr>
      </w:pPr>
      <w:r>
        <w:t>Odbiór robót</w:t>
      </w:r>
    </w:p>
    <w:p w:rsidR="009F0E2B" w:rsidRDefault="009F0E2B" w:rsidP="009F0E2B"/>
    <w:p w:rsidR="009F0E2B" w:rsidRDefault="009F0E2B" w:rsidP="009F0E2B"/>
    <w:p w:rsidR="009F0E2B" w:rsidRDefault="009F0E2B" w:rsidP="009F0E2B"/>
    <w:p w:rsidR="009F0E2B" w:rsidRDefault="009F0E2B" w:rsidP="009F0E2B"/>
    <w:p w:rsidR="009F0E2B" w:rsidRDefault="009F0E2B" w:rsidP="009F0E2B"/>
    <w:p w:rsidR="009F0E2B" w:rsidRDefault="009F0E2B" w:rsidP="009F0E2B"/>
    <w:p w:rsidR="009F0E2B" w:rsidRDefault="009F0E2B" w:rsidP="009F0E2B"/>
    <w:p w:rsidR="009F0E2B" w:rsidRDefault="009F0E2B" w:rsidP="009F0E2B"/>
    <w:p w:rsidR="009F0E2B" w:rsidRDefault="009F0E2B" w:rsidP="009F0E2B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lastRenderedPageBreak/>
        <w:t>Wstęp</w:t>
      </w:r>
    </w:p>
    <w:p w:rsidR="009F0E2B" w:rsidRDefault="009F0E2B" w:rsidP="009F0E2B">
      <w:pPr>
        <w:rPr>
          <w:b/>
          <w:bCs/>
        </w:rPr>
      </w:pPr>
    </w:p>
    <w:p w:rsidR="009F0E2B" w:rsidRDefault="009F0E2B" w:rsidP="009F0E2B">
      <w:pPr>
        <w:rPr>
          <w:b/>
          <w:bCs/>
        </w:rPr>
      </w:pPr>
      <w:r>
        <w:rPr>
          <w:b/>
          <w:bCs/>
        </w:rPr>
        <w:t>1.1</w:t>
      </w:r>
      <w:r>
        <w:rPr>
          <w:b/>
          <w:bCs/>
        </w:rPr>
        <w:tab/>
        <w:t>Przedmiot specyfikacji</w:t>
      </w:r>
    </w:p>
    <w:p w:rsidR="009F0E2B" w:rsidRDefault="009F0E2B" w:rsidP="009F0E2B"/>
    <w:p w:rsidR="009F0E2B" w:rsidRDefault="009F0E2B" w:rsidP="009F0E2B">
      <w:r>
        <w:t>Przedmiotem niniejszej specyfikacji są wymagania dotyczące wykonania i odbioru robót związanych z ułożen</w:t>
      </w:r>
      <w:r w:rsidR="00236880">
        <w:t xml:space="preserve">iem wykładzin PCV </w:t>
      </w:r>
      <w:proofErr w:type="spellStart"/>
      <w:r w:rsidR="00236880">
        <w:t>Tarkett</w:t>
      </w:r>
      <w:proofErr w:type="spellEnd"/>
      <w:r w:rsidR="00236880">
        <w:t xml:space="preserve"> Centra 43</w:t>
      </w:r>
      <w:r>
        <w:t xml:space="preserve">, wraz z technologią układania, w budynku </w:t>
      </w:r>
      <w:r w:rsidR="00236880">
        <w:t xml:space="preserve">Zespołu Placówek </w:t>
      </w:r>
      <w:proofErr w:type="spellStart"/>
      <w:r w:rsidR="00236880">
        <w:t>Szkolno</w:t>
      </w:r>
      <w:proofErr w:type="spellEnd"/>
      <w:r w:rsidR="00236880">
        <w:t xml:space="preserve"> Wychowawczych w Głogowie ul. Sportowa 1.</w:t>
      </w:r>
    </w:p>
    <w:p w:rsidR="009F0E2B" w:rsidRDefault="009F0E2B" w:rsidP="009F0E2B"/>
    <w:p w:rsidR="009F0E2B" w:rsidRDefault="009F0E2B" w:rsidP="009F0E2B">
      <w:pPr>
        <w:rPr>
          <w:b/>
          <w:bCs/>
        </w:rPr>
      </w:pPr>
      <w:r>
        <w:rPr>
          <w:b/>
          <w:bCs/>
        </w:rPr>
        <w:t>1.2</w:t>
      </w:r>
      <w:r>
        <w:rPr>
          <w:b/>
          <w:bCs/>
        </w:rPr>
        <w:tab/>
        <w:t>Zakres stosowania specyfikacji</w:t>
      </w:r>
    </w:p>
    <w:p w:rsidR="009F0E2B" w:rsidRDefault="009F0E2B" w:rsidP="009F0E2B"/>
    <w:p w:rsidR="009F0E2B" w:rsidRDefault="009F0E2B" w:rsidP="009F0E2B">
      <w:r>
        <w:t>Specyfikacja techniczna jest stosowana jako dokument przetargowy i kontraktowy przy zleceniu i realizacji robót wymienionych w pkt. 1.1.</w:t>
      </w:r>
    </w:p>
    <w:p w:rsidR="009F0E2B" w:rsidRDefault="009F0E2B" w:rsidP="009F0E2B"/>
    <w:p w:rsidR="009F0E2B" w:rsidRDefault="009F0E2B" w:rsidP="009F0E2B">
      <w:pPr>
        <w:numPr>
          <w:ilvl w:val="1"/>
          <w:numId w:val="3"/>
        </w:numPr>
        <w:rPr>
          <w:b/>
          <w:bCs/>
        </w:rPr>
      </w:pPr>
      <w:r>
        <w:rPr>
          <w:b/>
          <w:bCs/>
        </w:rPr>
        <w:t xml:space="preserve">Zakres robót objętych specyfikacją </w:t>
      </w:r>
    </w:p>
    <w:p w:rsidR="009F0E2B" w:rsidRDefault="009F0E2B" w:rsidP="009F0E2B"/>
    <w:p w:rsidR="009F0E2B" w:rsidRDefault="009F0E2B" w:rsidP="009F0E2B">
      <w:r>
        <w:t xml:space="preserve">Wykonanie posadzki z wykładzin rolowanych, w tym przygotowanie podłoża, czyszczenie </w:t>
      </w:r>
      <w:r>
        <w:br/>
        <w:t xml:space="preserve">i odkurzanie, impregnacja powierzchni. </w:t>
      </w:r>
    </w:p>
    <w:p w:rsidR="009F0E2B" w:rsidRDefault="009F0E2B" w:rsidP="009F0E2B"/>
    <w:p w:rsidR="009F0E2B" w:rsidRDefault="009F0E2B" w:rsidP="009F0E2B">
      <w:pPr>
        <w:numPr>
          <w:ilvl w:val="1"/>
          <w:numId w:val="3"/>
        </w:numPr>
        <w:rPr>
          <w:b/>
          <w:bCs/>
        </w:rPr>
      </w:pPr>
      <w:r>
        <w:rPr>
          <w:b/>
          <w:bCs/>
        </w:rPr>
        <w:t>Określenie podstawowe</w:t>
      </w:r>
    </w:p>
    <w:p w:rsidR="009F0E2B" w:rsidRDefault="009F0E2B" w:rsidP="009F0E2B"/>
    <w:p w:rsidR="009F0E2B" w:rsidRPr="002F39B9" w:rsidRDefault="00236880" w:rsidP="009F0E2B">
      <w:pPr>
        <w:numPr>
          <w:ilvl w:val="0"/>
          <w:numId w:val="4"/>
        </w:numPr>
        <w:rPr>
          <w:b/>
        </w:rPr>
      </w:pPr>
      <w:r>
        <w:t xml:space="preserve">wykładzina </w:t>
      </w:r>
      <w:r w:rsidRPr="002F39B9">
        <w:rPr>
          <w:b/>
        </w:rPr>
        <w:t>PCV TARKETT CENTRA 43</w:t>
      </w:r>
      <w:r w:rsidR="002F39B9">
        <w:rPr>
          <w:b/>
        </w:rPr>
        <w:t xml:space="preserve"> </w:t>
      </w:r>
      <w:r w:rsidR="009F0E2B" w:rsidRPr="002F39B9">
        <w:rPr>
          <w:b/>
        </w:rPr>
        <w:t xml:space="preserve"> lub równoważna</w:t>
      </w:r>
    </w:p>
    <w:p w:rsidR="009F0E2B" w:rsidRDefault="009F0E2B" w:rsidP="009F0E2B">
      <w:pPr>
        <w:numPr>
          <w:ilvl w:val="0"/>
          <w:numId w:val="4"/>
        </w:numPr>
      </w:pPr>
      <w:r>
        <w:t>masy klejowe</w:t>
      </w:r>
    </w:p>
    <w:p w:rsidR="009F0E2B" w:rsidRDefault="009F0E2B" w:rsidP="009F0E2B"/>
    <w:p w:rsidR="009F0E2B" w:rsidRDefault="009F0E2B" w:rsidP="009F0E2B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Materiały</w:t>
      </w:r>
    </w:p>
    <w:p w:rsidR="000A3177" w:rsidRDefault="000A3177" w:rsidP="000A317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Proponuje się zastosowanie wykładzin homogenicznych z winylu,  TARKETT CENTRA 43 lub równoważnych. </w:t>
      </w:r>
    </w:p>
    <w:p w:rsidR="009F0E2B" w:rsidRDefault="000A3177" w:rsidP="000A3177">
      <w:r>
        <w:rPr>
          <w:b/>
          <w:bCs/>
          <w:sz w:val="23"/>
          <w:szCs w:val="23"/>
        </w:rPr>
        <w:t>Zamawiający dostarczy wzorcowe próbki kolorystyki i struktury materiałów</w:t>
      </w:r>
      <w:r w:rsidR="005C7F98">
        <w:rPr>
          <w:sz w:val="23"/>
          <w:szCs w:val="23"/>
        </w:rPr>
        <w:t>.</w:t>
      </w:r>
    </w:p>
    <w:p w:rsidR="009F0E2B" w:rsidRPr="002F39B9" w:rsidRDefault="009F0E2B" w:rsidP="009F0E2B">
      <w:pPr>
        <w:rPr>
          <w:b/>
        </w:rPr>
      </w:pPr>
      <w:r>
        <w:t>Wykładzina</w:t>
      </w:r>
      <w:r w:rsidR="00236880">
        <w:t xml:space="preserve"> homogeniczna </w:t>
      </w:r>
      <w:r w:rsidR="00236880" w:rsidRPr="002F39B9">
        <w:rPr>
          <w:b/>
        </w:rPr>
        <w:t xml:space="preserve">PCV </w:t>
      </w:r>
      <w:proofErr w:type="spellStart"/>
      <w:r w:rsidR="00236880" w:rsidRPr="002F39B9">
        <w:rPr>
          <w:b/>
        </w:rPr>
        <w:t>Tarkett</w:t>
      </w:r>
      <w:proofErr w:type="spellEnd"/>
      <w:r w:rsidR="00236880" w:rsidRPr="002F39B9">
        <w:rPr>
          <w:b/>
        </w:rPr>
        <w:t xml:space="preserve"> Centra 43</w:t>
      </w:r>
      <w:r w:rsidRPr="002F39B9">
        <w:rPr>
          <w:b/>
        </w:rPr>
        <w:t xml:space="preserve"> lub równoważna:</w:t>
      </w:r>
    </w:p>
    <w:p w:rsidR="009F0E2B" w:rsidRDefault="009F0E2B" w:rsidP="009F0E2B">
      <w:r>
        <w:t>Specyfikacja techniczna:</w:t>
      </w:r>
    </w:p>
    <w:p w:rsidR="009F0E2B" w:rsidRDefault="009F0E2B" w:rsidP="009F0E2B">
      <w:pPr>
        <w:numPr>
          <w:ilvl w:val="0"/>
          <w:numId w:val="4"/>
        </w:numPr>
      </w:pPr>
      <w:r>
        <w:t>grubość całkowita : 2mm</w:t>
      </w:r>
    </w:p>
    <w:p w:rsidR="009F0E2B" w:rsidRDefault="00236880" w:rsidP="009F0E2B">
      <w:pPr>
        <w:numPr>
          <w:ilvl w:val="0"/>
          <w:numId w:val="4"/>
        </w:numPr>
      </w:pPr>
      <w:r>
        <w:t>waga całkowita :  30</w:t>
      </w:r>
      <w:r w:rsidR="009F0E2B">
        <w:t>00g/m</w:t>
      </w:r>
      <w:r w:rsidR="009F0E2B">
        <w:rPr>
          <w:vertAlign w:val="superscript"/>
        </w:rPr>
        <w:t>2</w:t>
      </w:r>
      <w:r w:rsidR="009F0E2B">
        <w:t xml:space="preserve"> </w:t>
      </w:r>
    </w:p>
    <w:p w:rsidR="002F39B9" w:rsidRDefault="002F39B9" w:rsidP="009F0E2B">
      <w:pPr>
        <w:numPr>
          <w:ilvl w:val="0"/>
          <w:numId w:val="4"/>
        </w:numPr>
      </w:pPr>
      <w:r>
        <w:t xml:space="preserve">ochrona powierzchni – PUR </w:t>
      </w:r>
      <w:proofErr w:type="spellStart"/>
      <w:r>
        <w:t>Reinforced</w:t>
      </w:r>
      <w:proofErr w:type="spellEnd"/>
    </w:p>
    <w:p w:rsidR="005C7F98" w:rsidRDefault="005C7F98" w:rsidP="009F0E2B">
      <w:pPr>
        <w:numPr>
          <w:ilvl w:val="0"/>
          <w:numId w:val="4"/>
        </w:numPr>
      </w:pPr>
      <w:r>
        <w:t>przestrzenne, bezkierunkowe wzory</w:t>
      </w:r>
    </w:p>
    <w:p w:rsidR="009F0E2B" w:rsidRDefault="009F0E2B" w:rsidP="009F0E2B">
      <w:pPr>
        <w:numPr>
          <w:ilvl w:val="0"/>
          <w:numId w:val="4"/>
        </w:numPr>
      </w:pPr>
      <w:r>
        <w:t>grupa ścieralności wg EN-660-2 : Grupa P</w:t>
      </w:r>
    </w:p>
    <w:p w:rsidR="009F0E2B" w:rsidRDefault="009F0E2B" w:rsidP="009F0E2B">
      <w:pPr>
        <w:numPr>
          <w:ilvl w:val="0"/>
          <w:numId w:val="4"/>
        </w:numPr>
      </w:pPr>
      <w:r>
        <w:t>odporność na nacisk punktowy wg EN 424 : odporna</w:t>
      </w:r>
    </w:p>
    <w:p w:rsidR="009F0E2B" w:rsidRDefault="009F0E2B" w:rsidP="009F0E2B">
      <w:pPr>
        <w:numPr>
          <w:ilvl w:val="0"/>
          <w:numId w:val="4"/>
        </w:numPr>
      </w:pPr>
      <w:r>
        <w:t>oddziaływanie krzesła na rolkach wg EN 425 : odporna</w:t>
      </w:r>
    </w:p>
    <w:p w:rsidR="009F0E2B" w:rsidRDefault="009F0E2B" w:rsidP="009F0E2B">
      <w:pPr>
        <w:numPr>
          <w:ilvl w:val="0"/>
          <w:numId w:val="4"/>
        </w:numPr>
      </w:pPr>
      <w:r>
        <w:t>klasa ogniotrwałości wg EN 13501-1: B</w:t>
      </w:r>
      <w:r>
        <w:rPr>
          <w:vertAlign w:val="subscript"/>
        </w:rPr>
        <w:t>fl</w:t>
      </w:r>
      <w:r>
        <w:t>s1</w:t>
      </w:r>
    </w:p>
    <w:p w:rsidR="009F0E2B" w:rsidRDefault="009F0E2B" w:rsidP="009F0E2B">
      <w:pPr>
        <w:numPr>
          <w:ilvl w:val="0"/>
          <w:numId w:val="4"/>
        </w:numPr>
      </w:pPr>
      <w:r>
        <w:t>właściwości antypoślizgowe wg DIN 51130 : R9</w:t>
      </w:r>
    </w:p>
    <w:p w:rsidR="009F0E2B" w:rsidRDefault="009F0E2B" w:rsidP="009F0E2B">
      <w:pPr>
        <w:numPr>
          <w:ilvl w:val="0"/>
          <w:numId w:val="4"/>
        </w:numPr>
      </w:pPr>
      <w:r>
        <w:t>właściwo</w:t>
      </w:r>
      <w:r w:rsidR="002F39B9">
        <w:t>ści antystatyczne wg EN 1815 : ≤</w:t>
      </w:r>
      <w:r>
        <w:t>2kV</w:t>
      </w:r>
    </w:p>
    <w:p w:rsidR="009F0E2B" w:rsidRDefault="009F0E2B" w:rsidP="009F0E2B">
      <w:pPr>
        <w:numPr>
          <w:ilvl w:val="0"/>
          <w:numId w:val="4"/>
        </w:numPr>
      </w:pPr>
      <w:r>
        <w:t>odporność barwy na światło wg EN ISO 105-B02 : ≥6</w:t>
      </w:r>
    </w:p>
    <w:p w:rsidR="009F0E2B" w:rsidRDefault="009F0E2B" w:rsidP="009F0E2B">
      <w:pPr>
        <w:numPr>
          <w:ilvl w:val="0"/>
          <w:numId w:val="4"/>
        </w:numPr>
      </w:pPr>
      <w:r>
        <w:t>odporność chemiczna wg EN 423 : dobra odporność</w:t>
      </w:r>
    </w:p>
    <w:p w:rsidR="009F0E2B" w:rsidRDefault="009F0E2B" w:rsidP="009F0E2B">
      <w:pPr>
        <w:numPr>
          <w:ilvl w:val="0"/>
          <w:numId w:val="4"/>
        </w:numPr>
      </w:pPr>
      <w:r>
        <w:t>odporność na rozwój bakter</w:t>
      </w:r>
      <w:r w:rsidR="002F39B9">
        <w:t xml:space="preserve">ii i grzybów wg DIN EN ISO 846-/C : </w:t>
      </w:r>
      <w:r>
        <w:t xml:space="preserve"> nie </w:t>
      </w:r>
      <w:r w:rsidR="002F39B9">
        <w:t>sprzyja rozwojowi bakterii</w:t>
      </w:r>
    </w:p>
    <w:p w:rsidR="009F0E2B" w:rsidRDefault="002F39B9" w:rsidP="009F0E2B">
      <w:pPr>
        <w:numPr>
          <w:ilvl w:val="0"/>
          <w:numId w:val="4"/>
        </w:numPr>
      </w:pPr>
      <w:r>
        <w:t>kolory : 18</w:t>
      </w:r>
      <w:r w:rsidR="009F0E2B">
        <w:t xml:space="preserve"> kolorów</w:t>
      </w:r>
    </w:p>
    <w:p w:rsidR="009F0E2B" w:rsidRDefault="009F0E2B" w:rsidP="009F0E2B"/>
    <w:p w:rsidR="009F0E2B" w:rsidRDefault="009F0E2B" w:rsidP="009F0E2B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Sprzęt</w:t>
      </w:r>
    </w:p>
    <w:p w:rsidR="009F0E2B" w:rsidRDefault="009F0E2B" w:rsidP="009F0E2B"/>
    <w:p w:rsidR="009F0E2B" w:rsidRDefault="009F0E2B" w:rsidP="009F0E2B">
      <w:r>
        <w:t>Do cięcia materiałów posadzkowych używać narzędzi dostosowanych do twardości płyt materiału. Sprzęt stosowany do robót budowlano - montażowych musi być użytkowany zgodnie ze swoim przeznaczeniem w zakresie zgodnym z dokumentacją techniczno-ruchową.</w:t>
      </w:r>
    </w:p>
    <w:p w:rsidR="009F0E2B" w:rsidRDefault="009F0E2B" w:rsidP="009F0E2B">
      <w:r>
        <w:lastRenderedPageBreak/>
        <w:t>Sprzęt musi odpowiadać wymaganym przepisom eksploatacyjnym w zakresie wymagań użytkowych, utrzymania odpowiedniego stanu technicznego, częstotliwości i zakresu kontroli stanu technicznego, przestrzegania warunków BHP i ochrony P.poż w czasie użytkowania sprzętu. Sprzęt jeśli tego wymaga powinien posiadać certyfikat B. Wykonawca jest zobowiązany sprawdzić ważność odpowiednich dokumentów.</w:t>
      </w:r>
    </w:p>
    <w:p w:rsidR="009F0E2B" w:rsidRDefault="009F0E2B" w:rsidP="009F0E2B"/>
    <w:p w:rsidR="009F0E2B" w:rsidRDefault="009F0E2B" w:rsidP="009F0E2B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Transport</w:t>
      </w:r>
    </w:p>
    <w:p w:rsidR="009F0E2B" w:rsidRDefault="009F0E2B" w:rsidP="009F0E2B"/>
    <w:p w:rsidR="009F0E2B" w:rsidRDefault="009F0E2B" w:rsidP="009F0E2B">
      <w:r>
        <w:t>Transport powinien odbywać się krytymi środkami transportu. Ułożenie i zabezpieczenie ładunku powinno być zgodne z przepisami transportowymi dotyczącymi transportu samochodowego. Rolki</w:t>
      </w:r>
      <w:r>
        <w:rPr>
          <w:color w:val="FF0000"/>
        </w:rPr>
        <w:t xml:space="preserve"> </w:t>
      </w:r>
      <w:r>
        <w:t>przechowywać w miejscu suchym i przewiewnym, nie wystawionym na bezpośrednie działanie promieni słonecznych i opadów atmosferycznych. Materiał</w:t>
      </w:r>
      <w:r>
        <w:rPr>
          <w:color w:val="FF0000"/>
        </w:rPr>
        <w:t xml:space="preserve"> </w:t>
      </w:r>
      <w:r>
        <w:t>izolować od podłoża składając je np. na podestach.</w:t>
      </w:r>
    </w:p>
    <w:p w:rsidR="009F0E2B" w:rsidRDefault="009F0E2B" w:rsidP="009F0E2B"/>
    <w:p w:rsidR="009F0E2B" w:rsidRDefault="009F0E2B" w:rsidP="009F0E2B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Wykonanie robót</w:t>
      </w:r>
    </w:p>
    <w:p w:rsidR="009F0E2B" w:rsidRDefault="009F0E2B" w:rsidP="009F0E2B"/>
    <w:p w:rsidR="009F0E2B" w:rsidRDefault="002F39B9" w:rsidP="009F0E2B">
      <w:r>
        <w:t>Wykładzina TARKETT CENTRA 43</w:t>
      </w:r>
    </w:p>
    <w:p w:rsidR="009F0E2B" w:rsidRDefault="009F0E2B" w:rsidP="009F0E2B">
      <w:pPr>
        <w:pStyle w:val="Tekstpodstawowy"/>
      </w:pPr>
      <w:r>
        <w:t xml:space="preserve">Podłoże pod wykładzinę powinno być gładkie, o odpowiedniej wytrzymałości, równe, suche, oczyszczone z wszelkich zanieczyszczeń i przygotowane zgodnie z przepisami budowlanymi. W celu uzyskania jak najlepszej jakości podłoża przy podkładach cementowych, zaleca się stosowanie mas wygładzających (samopoziomujących) renomowanych producentów przeznaczonych do stosowania pod wykładziny elastyczne. Zakłada się wykonanie masy samopoziomującej gr. 2-5mm. Wilgotność podłoża (CM-%) nie powinna być wyższa niż 2,0%. Dobre będą zatem wszystkie te rodzaje posadzek które są równe, posiadają mocną strukturę, są pozbawione rys oraz </w:t>
      </w:r>
      <w:r w:rsidR="000A3177">
        <w:t>pęknięć. Podłoża</w:t>
      </w:r>
      <w:r>
        <w:t xml:space="preserve"> te powinny być odpowiednio suche.</w:t>
      </w:r>
      <w:r>
        <w:rPr>
          <w:color w:val="FF0000"/>
        </w:rPr>
        <w:t xml:space="preserve"> </w:t>
      </w:r>
      <w:r>
        <w:rPr>
          <w:color w:val="000000"/>
        </w:rPr>
        <w:t xml:space="preserve">Posadzka musi być szczelna i nie nasiąkliwa. Montaż wykładzin zgodnie z fachowymi regułami powinien odbywać się w temperaturze otoczenia o wartości około +18°C jak również w warunkach wilgotności względnej – max. 65% (idealna wilgotność to 40-60%). Natomiast temperatura samej podłogi nie powinna być niższa niż 15°C. </w:t>
      </w:r>
      <w:r>
        <w:t>Do mont</w:t>
      </w:r>
      <w:r w:rsidR="002F39B9">
        <w:t>ażu wykładzin PCV TARKETT CENTRA 43</w:t>
      </w:r>
      <w:r>
        <w:t xml:space="preserve"> powinien być stosowany klej dyspersyjny. Należy używać kleju  zgodnego z zaleceniami producenta. Arkusze wykładziny należy łączyć przy pomocy sznura spawalniczego </w:t>
      </w:r>
      <w:proofErr w:type="spellStart"/>
      <w:r>
        <w:t>Tarkett</w:t>
      </w:r>
      <w:proofErr w:type="spellEnd"/>
      <w:r w:rsidR="005C7F98">
        <w:t>.</w:t>
      </w:r>
    </w:p>
    <w:p w:rsidR="009F0E2B" w:rsidRDefault="009F0E2B" w:rsidP="009F0E2B">
      <w:pPr>
        <w:pStyle w:val="Tekstpodstawowy"/>
      </w:pPr>
      <w:r>
        <w:t>Wokół ścian pomieszczenia wykonać listwy cokołowe dopasowane do wykładziny wysokość wywinięcia na ścianę 10cm.</w:t>
      </w:r>
    </w:p>
    <w:p w:rsidR="009F0E2B" w:rsidRDefault="009F0E2B" w:rsidP="009F0E2B">
      <w:pPr>
        <w:pStyle w:val="Tekstpodstawowy"/>
      </w:pPr>
      <w:r>
        <w:t xml:space="preserve">W przypadku jakichkolwiek wątpliwości należy zapoznać się ze szczegółową instrukcja montażu wykładzin </w:t>
      </w:r>
      <w:proofErr w:type="spellStart"/>
      <w:r>
        <w:t>Tarkett</w:t>
      </w:r>
      <w:proofErr w:type="spellEnd"/>
      <w:r>
        <w:t xml:space="preserve"> znajdującej się na stronie internetowej producenta.</w:t>
      </w:r>
    </w:p>
    <w:p w:rsidR="009F0E2B" w:rsidRDefault="009F0E2B" w:rsidP="009F0E2B"/>
    <w:p w:rsidR="009F0E2B" w:rsidRDefault="009F0E2B" w:rsidP="009F0E2B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Kontrola jakości robót</w:t>
      </w:r>
    </w:p>
    <w:p w:rsidR="009F0E2B" w:rsidRDefault="009F0E2B" w:rsidP="009F0E2B"/>
    <w:p w:rsidR="009F0E2B" w:rsidRDefault="009F0E2B" w:rsidP="009F0E2B">
      <w:pPr>
        <w:pStyle w:val="Tekstpodstawowy"/>
      </w:pPr>
      <w:r>
        <w:t xml:space="preserve"> Za jakość materiałów odpowiada producent, który jest zobowiązanych do wystawienia stosownych deklaracji zgodności z aprobatą techniczną oraz przedstawić atesty higieniczne. Prze</w:t>
      </w:r>
      <w:r w:rsidR="00CD3509">
        <w:t>d</w:t>
      </w:r>
      <w:r>
        <w:t xml:space="preserve"> przystąpieniem do robót wykonać badanie wilgotności podłoża. Należy zbadać twardość posadzki betonowej jak również jej wyrównanie na długości 2,5m mierzonej łatą, gdzie nierówności nie mogą przekraczać 1-2 mm. Każda partia wyprodukowanego materiału gotowego ma być sprawdzana pod względem jakości wykonania, gatunku  oraz utrzymania wymiarów.</w:t>
      </w:r>
    </w:p>
    <w:p w:rsidR="009F0E2B" w:rsidRDefault="009F0E2B" w:rsidP="009F0E2B">
      <w:pPr>
        <w:jc w:val="both"/>
      </w:pPr>
    </w:p>
    <w:p w:rsidR="005C7F98" w:rsidRDefault="005C7F98" w:rsidP="009F0E2B">
      <w:pPr>
        <w:jc w:val="both"/>
      </w:pPr>
    </w:p>
    <w:p w:rsidR="005C7F98" w:rsidRDefault="005C7F98" w:rsidP="009F0E2B">
      <w:pPr>
        <w:jc w:val="both"/>
      </w:pPr>
    </w:p>
    <w:p w:rsidR="005C7F98" w:rsidRDefault="005C7F98" w:rsidP="009F0E2B">
      <w:pPr>
        <w:jc w:val="both"/>
      </w:pPr>
    </w:p>
    <w:p w:rsidR="009F0E2B" w:rsidRDefault="009F0E2B" w:rsidP="009F0E2B">
      <w:pPr>
        <w:numPr>
          <w:ilvl w:val="0"/>
          <w:numId w:val="2"/>
        </w:numPr>
        <w:tabs>
          <w:tab w:val="left" w:pos="540"/>
          <w:tab w:val="left" w:pos="900"/>
        </w:tabs>
        <w:jc w:val="both"/>
        <w:rPr>
          <w:b/>
          <w:bCs/>
        </w:rPr>
      </w:pPr>
      <w:r>
        <w:rPr>
          <w:b/>
          <w:bCs/>
        </w:rPr>
        <w:lastRenderedPageBreak/>
        <w:t xml:space="preserve">Obmiar robót </w:t>
      </w:r>
    </w:p>
    <w:p w:rsidR="009F0E2B" w:rsidRDefault="009F0E2B" w:rsidP="009F0E2B">
      <w:pPr>
        <w:tabs>
          <w:tab w:val="left" w:pos="540"/>
          <w:tab w:val="left" w:pos="900"/>
        </w:tabs>
        <w:jc w:val="both"/>
      </w:pPr>
    </w:p>
    <w:p w:rsidR="009F0E2B" w:rsidRDefault="009F0E2B" w:rsidP="009F0E2B">
      <w:pPr>
        <w:tabs>
          <w:tab w:val="left" w:pos="540"/>
          <w:tab w:val="left" w:pos="720"/>
          <w:tab w:val="left" w:pos="900"/>
        </w:tabs>
        <w:jc w:val="both"/>
      </w:pPr>
      <w:r>
        <w:t>Jednostką obmiarową jest 1m</w:t>
      </w:r>
      <w:r>
        <w:rPr>
          <w:vertAlign w:val="superscript"/>
        </w:rPr>
        <w:t xml:space="preserve">2 </w:t>
      </w:r>
      <w:r>
        <w:t>układanej powierzchni. Do płatności przyjmuje się ilość m</w:t>
      </w:r>
      <w:r>
        <w:rPr>
          <w:vertAlign w:val="superscript"/>
        </w:rPr>
        <w:t xml:space="preserve">2 </w:t>
      </w:r>
      <w:r>
        <w:t>wykonanej i odebranej podłogi.</w:t>
      </w:r>
    </w:p>
    <w:p w:rsidR="009F0E2B" w:rsidRDefault="009F0E2B" w:rsidP="009F0E2B">
      <w:pPr>
        <w:tabs>
          <w:tab w:val="left" w:pos="540"/>
          <w:tab w:val="left" w:pos="720"/>
          <w:tab w:val="left" w:pos="900"/>
        </w:tabs>
        <w:jc w:val="both"/>
      </w:pPr>
    </w:p>
    <w:p w:rsidR="009F0E2B" w:rsidRDefault="009F0E2B" w:rsidP="009F0E2B">
      <w:pPr>
        <w:tabs>
          <w:tab w:val="left" w:pos="540"/>
          <w:tab w:val="left" w:pos="720"/>
          <w:tab w:val="left" w:pos="900"/>
        </w:tabs>
        <w:jc w:val="both"/>
      </w:pPr>
    </w:p>
    <w:p w:rsidR="009F0E2B" w:rsidRDefault="009F0E2B" w:rsidP="009F0E2B">
      <w:pPr>
        <w:tabs>
          <w:tab w:val="left" w:pos="540"/>
          <w:tab w:val="left" w:pos="720"/>
          <w:tab w:val="left" w:pos="900"/>
        </w:tabs>
        <w:jc w:val="both"/>
      </w:pPr>
    </w:p>
    <w:p w:rsidR="009F0E2B" w:rsidRDefault="009F0E2B" w:rsidP="009F0E2B">
      <w:pPr>
        <w:numPr>
          <w:ilvl w:val="0"/>
          <w:numId w:val="2"/>
        </w:numPr>
        <w:tabs>
          <w:tab w:val="left" w:pos="540"/>
          <w:tab w:val="left" w:pos="900"/>
        </w:tabs>
        <w:jc w:val="both"/>
        <w:rPr>
          <w:b/>
          <w:bCs/>
        </w:rPr>
      </w:pPr>
      <w:r>
        <w:rPr>
          <w:b/>
          <w:bCs/>
        </w:rPr>
        <w:t xml:space="preserve">    Odbiór robót </w:t>
      </w:r>
    </w:p>
    <w:p w:rsidR="009F0E2B" w:rsidRDefault="009F0E2B" w:rsidP="009F0E2B">
      <w:pPr>
        <w:tabs>
          <w:tab w:val="left" w:pos="540"/>
          <w:tab w:val="left" w:pos="900"/>
        </w:tabs>
        <w:jc w:val="both"/>
        <w:rPr>
          <w:b/>
          <w:bCs/>
        </w:rPr>
      </w:pPr>
    </w:p>
    <w:p w:rsidR="009F0E2B" w:rsidRDefault="009F0E2B" w:rsidP="009F0E2B">
      <w:pPr>
        <w:tabs>
          <w:tab w:val="left" w:pos="540"/>
          <w:tab w:val="left" w:pos="720"/>
          <w:tab w:val="left" w:pos="900"/>
        </w:tabs>
        <w:jc w:val="both"/>
      </w:pPr>
    </w:p>
    <w:p w:rsidR="009F0E2B" w:rsidRDefault="009F0E2B" w:rsidP="009F0E2B">
      <w:pPr>
        <w:tabs>
          <w:tab w:val="left" w:pos="540"/>
          <w:tab w:val="left" w:pos="720"/>
          <w:tab w:val="left" w:pos="900"/>
        </w:tabs>
        <w:jc w:val="both"/>
      </w:pPr>
      <w:r>
        <w:t>Odbiory należy przeprowadzać dla każdej posadzki w poszczególnych pomieszczeniach osobno</w:t>
      </w:r>
      <w:r w:rsidR="00CD3509">
        <w:t>. W protoko</w:t>
      </w:r>
      <w:r>
        <w:t>le należy odnotować fakt wykonania poprawek, określając ich rodzaj i miejsce. Podstawą odbioru robót są badania obejmujące:</w:t>
      </w:r>
    </w:p>
    <w:p w:rsidR="009F0E2B" w:rsidRDefault="009F0E2B" w:rsidP="009F0E2B">
      <w:pPr>
        <w:numPr>
          <w:ilvl w:val="0"/>
          <w:numId w:val="4"/>
        </w:numPr>
        <w:tabs>
          <w:tab w:val="left" w:pos="540"/>
          <w:tab w:val="left" w:pos="720"/>
          <w:tab w:val="left" w:pos="900"/>
        </w:tabs>
        <w:jc w:val="both"/>
      </w:pPr>
      <w:r>
        <w:t>sprawdzenie materiałów</w:t>
      </w:r>
    </w:p>
    <w:p w:rsidR="009F0E2B" w:rsidRDefault="009F0E2B" w:rsidP="009F0E2B">
      <w:pPr>
        <w:numPr>
          <w:ilvl w:val="0"/>
          <w:numId w:val="4"/>
        </w:numPr>
        <w:tabs>
          <w:tab w:val="left" w:pos="540"/>
          <w:tab w:val="left" w:pos="720"/>
          <w:tab w:val="left" w:pos="900"/>
        </w:tabs>
        <w:jc w:val="both"/>
      </w:pPr>
      <w:r>
        <w:t>sprawdzenie warunków prowadzenia robót</w:t>
      </w:r>
    </w:p>
    <w:p w:rsidR="009F0E2B" w:rsidRDefault="009F0E2B" w:rsidP="009F0E2B">
      <w:pPr>
        <w:numPr>
          <w:ilvl w:val="0"/>
          <w:numId w:val="4"/>
        </w:numPr>
        <w:tabs>
          <w:tab w:val="left" w:pos="540"/>
          <w:tab w:val="left" w:pos="720"/>
          <w:tab w:val="left" w:pos="900"/>
        </w:tabs>
        <w:jc w:val="both"/>
      </w:pPr>
      <w:r>
        <w:t xml:space="preserve">sprawdzenie prawidłowości wykonanych robót </w:t>
      </w:r>
    </w:p>
    <w:p w:rsidR="009F0E2B" w:rsidRDefault="009F0E2B" w:rsidP="009F0E2B">
      <w:pPr>
        <w:tabs>
          <w:tab w:val="left" w:pos="540"/>
          <w:tab w:val="left" w:pos="720"/>
          <w:tab w:val="left" w:pos="900"/>
        </w:tabs>
        <w:jc w:val="both"/>
        <w:rPr>
          <w:color w:val="FF0000"/>
        </w:rPr>
      </w:pPr>
    </w:p>
    <w:p w:rsidR="009F0E2B" w:rsidRDefault="009F0E2B" w:rsidP="009F0E2B">
      <w:pPr>
        <w:pStyle w:val="Tekstpodstawowy2"/>
      </w:pPr>
      <w:r>
        <w:t xml:space="preserve">Po odbiorze sporządza się protokół powykonawczy,  który zawiera szczegółowy obmiar robót. W przypadku wystąpienia poprawek w </w:t>
      </w:r>
      <w:proofErr w:type="spellStart"/>
      <w:r>
        <w:t>protokóle</w:t>
      </w:r>
      <w:proofErr w:type="spellEnd"/>
      <w:r>
        <w:t xml:space="preserve"> należy odnotować ten fakt                            z określeniem terminu ich wykonania.</w:t>
      </w:r>
    </w:p>
    <w:p w:rsidR="009F0E2B" w:rsidRDefault="009F0E2B" w:rsidP="009F0E2B">
      <w:pPr>
        <w:pStyle w:val="Tekstpodstawowy2"/>
      </w:pPr>
    </w:p>
    <w:p w:rsidR="009F0E2B" w:rsidRDefault="009F0E2B" w:rsidP="009F0E2B">
      <w:pPr>
        <w:pStyle w:val="Tekstpodstawowy2"/>
      </w:pPr>
    </w:p>
    <w:p w:rsidR="009F0E2B" w:rsidRDefault="009F0E2B" w:rsidP="009F0E2B">
      <w:pPr>
        <w:pStyle w:val="Tekstpodstawowy2"/>
      </w:pPr>
    </w:p>
    <w:p w:rsidR="009F0E2B" w:rsidRDefault="009F0E2B" w:rsidP="009F0E2B">
      <w:pPr>
        <w:pStyle w:val="Tekstpodstawowy2"/>
      </w:pPr>
    </w:p>
    <w:p w:rsidR="009F0E2B" w:rsidRDefault="009F0E2B" w:rsidP="009F0E2B">
      <w:pPr>
        <w:pStyle w:val="Tekstpodstawowy2"/>
      </w:pPr>
    </w:p>
    <w:p w:rsidR="009F0E2B" w:rsidRDefault="009F0E2B" w:rsidP="009F0E2B">
      <w:pPr>
        <w:pStyle w:val="Tekstpodstawowy2"/>
      </w:pPr>
    </w:p>
    <w:p w:rsidR="00151989" w:rsidRDefault="00151989"/>
    <w:sectPr w:rsidR="00151989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1576" w:rsidRDefault="00661576">
      <w:r>
        <w:separator/>
      </w:r>
    </w:p>
  </w:endnote>
  <w:endnote w:type="continuationSeparator" w:id="0">
    <w:p w:rsidR="00661576" w:rsidRDefault="0066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9C8" w:rsidRDefault="009F0E2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C09C8" w:rsidRDefault="002C09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9C8" w:rsidRDefault="002C09C8" w:rsidP="005C7F9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1576" w:rsidRDefault="00661576">
      <w:r>
        <w:separator/>
      </w:r>
    </w:p>
  </w:footnote>
  <w:footnote w:type="continuationSeparator" w:id="0">
    <w:p w:rsidR="00661576" w:rsidRDefault="00661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27503"/>
    <w:multiLevelType w:val="multilevel"/>
    <w:tmpl w:val="767C10C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B6C432B"/>
    <w:multiLevelType w:val="hybridMultilevel"/>
    <w:tmpl w:val="90A8F7B0"/>
    <w:lvl w:ilvl="0" w:tplc="21DA2B2C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31A7E"/>
    <w:multiLevelType w:val="multilevel"/>
    <w:tmpl w:val="0B4CA04A"/>
    <w:lvl w:ilvl="0">
      <w:start w:val="1"/>
      <w:numFmt w:val="decimal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5FCA14E4"/>
    <w:multiLevelType w:val="multilevel"/>
    <w:tmpl w:val="3D344522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EA66CB3"/>
    <w:multiLevelType w:val="multilevel"/>
    <w:tmpl w:val="9B06E53C"/>
    <w:lvl w:ilvl="0">
      <w:start w:val="1"/>
      <w:numFmt w:val="decimal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25E1"/>
    <w:rsid w:val="000156AF"/>
    <w:rsid w:val="000A3177"/>
    <w:rsid w:val="00151989"/>
    <w:rsid w:val="00166EE9"/>
    <w:rsid w:val="00236880"/>
    <w:rsid w:val="002C09C8"/>
    <w:rsid w:val="002F39B9"/>
    <w:rsid w:val="0032758C"/>
    <w:rsid w:val="005719A7"/>
    <w:rsid w:val="005C7F98"/>
    <w:rsid w:val="00661576"/>
    <w:rsid w:val="006725E1"/>
    <w:rsid w:val="008F5CBD"/>
    <w:rsid w:val="009F0E2B"/>
    <w:rsid w:val="00C2118B"/>
    <w:rsid w:val="00CD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07331-1D7F-4CA2-9720-0515547F2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0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F0E2B"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9F0E2B"/>
    <w:pPr>
      <w:keepNext/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F0E2B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9F0E2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9F0E2B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9F0E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9F0E2B"/>
    <w:pPr>
      <w:tabs>
        <w:tab w:val="left" w:pos="540"/>
        <w:tab w:val="left" w:pos="720"/>
        <w:tab w:val="left" w:pos="900"/>
      </w:tabs>
      <w:jc w:val="both"/>
    </w:pPr>
    <w:rPr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F0E2B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9F0E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9F0E2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9F0E2B"/>
  </w:style>
  <w:style w:type="paragraph" w:customStyle="1" w:styleId="Default">
    <w:name w:val="Default"/>
    <w:rsid w:val="000A31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7F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7F9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840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</dc:creator>
  <cp:keywords/>
  <dc:description/>
  <cp:lastModifiedBy>Grazynaz</cp:lastModifiedBy>
  <cp:revision>11</cp:revision>
  <dcterms:created xsi:type="dcterms:W3CDTF">2017-12-27T16:17:00Z</dcterms:created>
  <dcterms:modified xsi:type="dcterms:W3CDTF">2017-12-28T10:15:00Z</dcterms:modified>
</cp:coreProperties>
</file>