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1F7B" w14:textId="77777777" w:rsidR="009C6048" w:rsidRDefault="009C6048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5C228FDE" w14:textId="77777777" w:rsidR="009C6048" w:rsidRDefault="00344CBE">
      <w:pPr>
        <w:pStyle w:val="Nagwek3"/>
        <w:keepNext w:val="0"/>
        <w:keepLines w:val="0"/>
        <w:spacing w:before="280"/>
        <w:jc w:val="both"/>
        <w:rPr>
          <w:rFonts w:ascii="Calibri" w:eastAsia="Calibri" w:hAnsi="Calibri" w:cs="Calibri"/>
          <w:color w:val="000000"/>
          <w:highlight w:val="white"/>
        </w:rPr>
      </w:pPr>
      <w:bookmarkStart w:id="0" w:name="_heading=h.c29g8zqom73v" w:colFirst="0" w:colLast="0"/>
      <w:bookmarkEnd w:id="0"/>
      <w:r>
        <w:rPr>
          <w:rFonts w:ascii="Calibri" w:eastAsia="Calibri" w:hAnsi="Calibri" w:cs="Calibri"/>
          <w:color w:val="000000"/>
          <w:highlight w:val="white"/>
        </w:rPr>
        <w:t>Informacja o rozpoczęciu realizacji projektu partnerskiego “Młodzi kreatywni”</w:t>
      </w:r>
    </w:p>
    <w:p w14:paraId="34F61DED" w14:textId="77777777" w:rsidR="009C6048" w:rsidRDefault="009C6048">
      <w:pPr>
        <w:rPr>
          <w:highlight w:val="white"/>
        </w:rPr>
      </w:pPr>
    </w:p>
    <w:p w14:paraId="60E6E49D" w14:textId="3E8B8231" w:rsidR="009C6048" w:rsidRDefault="00344CBE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Gmina </w:t>
      </w:r>
      <w:r w:rsidR="002773D4">
        <w:rPr>
          <w:rFonts w:ascii="Calibri" w:eastAsia="Calibri" w:hAnsi="Calibri" w:cs="Calibri"/>
          <w:sz w:val="24"/>
          <w:szCs w:val="24"/>
          <w:highlight w:val="white"/>
        </w:rPr>
        <w:t>Lelkowo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z dniem 01.04.2025 r. przystąpiła do realizacji projektu partnerskiego o nazwie “Młodzi kreatywni” nr projektu FEWM.06.03-IZ.00-0058/24 w ramach Priorytetu FEWM.06 Edukacja i kompetencje EFS+ programu regionalnego Fundusze Europejskie dla Warmii i Mazur 2021-2027 współfinansowanego ze środków Europejskiego Funduszu Społecznego Plus.</w:t>
      </w:r>
    </w:p>
    <w:p w14:paraId="14DD3ADF" w14:textId="77777777" w:rsidR="009C6048" w:rsidRDefault="009C6048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06283CB4" w14:textId="77777777" w:rsidR="009C6048" w:rsidRDefault="00344CBE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Projekty “Młodzi kreatywni” jest realizowany w 31. szkołach ( w tym 30 szkołach podstawowych oraz 1. liceum ogólnokształcącym) zlokalizowanych na terenie 11. gmin pogranicza województwa warmińsko - mazurskiego.</w:t>
      </w:r>
    </w:p>
    <w:p w14:paraId="50AD8800" w14:textId="77777777" w:rsidR="009C6048" w:rsidRDefault="00344CBE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Beneficjentem projektu jest Gmina Węgorzewo w partnerstwie z gminą: Braniewo, Srokowo, Górowo Iławeckie, Pozezdrze, Sępopol, Lelkowo, Barciany, Budry, Dubeninki, Gołdap, powiatem węgorzewskim, Fundacją rozwoju Regionu Gołdap, Społeczno - Oświatowym Stowarzyszeniem Pomocy Pokrzywdzonym i Niepełnosprawnym “edukator” w Łomży, przy wsparciu Elbląskiego Stowarzyszenia Wspierania Inicjatyw Pozarządowych, Instytutu Badawczo - Szkoleniowego z Olsztyna oraz Stowarzyszenia Warmińsko - Mazurskich Samorządów Pogranicza.</w:t>
      </w:r>
    </w:p>
    <w:p w14:paraId="2C475433" w14:textId="77777777" w:rsidR="009C6048" w:rsidRDefault="00344CBE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Celem projektu jest rozwijanie kompetencji kluczowych i umiejętności uniwersalnych niezbędnych na rynku pracy, wsparcie uczniów z SPE oraz podniesienie jakości pracy szkół poprzez wsparcie nauczycieli i wdrażanie innowacyjnych metod nauczania. dzięki realizacji projektu możliwe będzie </w:t>
      </w:r>
      <w:hyperlink r:id="rId8">
        <w:r w:rsidRPr="002773D4">
          <w:rPr>
            <w:rFonts w:ascii="Calibri" w:eastAsia="Calibri" w:hAnsi="Calibri" w:cs="Calibri"/>
            <w:sz w:val="24"/>
            <w:szCs w:val="24"/>
            <w:highlight w:val="white"/>
            <w:u w:val="single"/>
          </w:rPr>
          <w:t>m.in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. organizowanie zajęć rozwijających, wyrównawczych, terapeutycznych, szkolenia dla nauczycieli, doposażenie szkół w nowoczesne pomoce dydaktyczne oraz stworzenie przyjaznych i dostępnych przestrzeni edukacyjnych dla wszystkich uczniów.  </w:t>
      </w:r>
    </w:p>
    <w:p w14:paraId="4775E718" w14:textId="77777777" w:rsidR="009C6048" w:rsidRDefault="00344CBE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Projekt współfinansowany jest ze środków unii Europejskiej i skierowany do łącznie 3032 osób, w tym 2932 uczniów, z czego 880 osób to uczniowie ze specjalnymi potrzebami edukacyjnymi (SPE) i 100 nauczycieli.  </w:t>
      </w:r>
    </w:p>
    <w:p w14:paraId="112F50E6" w14:textId="77777777" w:rsidR="009C6048" w:rsidRDefault="009C6048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5F3F3E7A" w14:textId="7FEAB048" w:rsidR="009C6048" w:rsidRDefault="00344CBE">
      <w:pPr>
        <w:spacing w:before="240"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Udział </w:t>
      </w:r>
      <w:r w:rsidR="002773D4">
        <w:rPr>
          <w:rFonts w:ascii="Calibri" w:eastAsia="Calibri" w:hAnsi="Calibri" w:cs="Calibri"/>
          <w:sz w:val="24"/>
          <w:szCs w:val="24"/>
          <w:highlight w:val="white"/>
        </w:rPr>
        <w:t>G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miny </w:t>
      </w:r>
      <w:r w:rsidR="002773D4">
        <w:rPr>
          <w:rFonts w:ascii="Calibri" w:eastAsia="Calibri" w:hAnsi="Calibri" w:cs="Calibri"/>
          <w:sz w:val="24"/>
          <w:szCs w:val="24"/>
          <w:highlight w:val="white"/>
        </w:rPr>
        <w:t>Lelkowo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w projekcie „Młodzi kreatywni” jest w pełni uzasadniony zarówno skalą i charakterem zidentyfikowanych problemów edukacyjnych, jak i potrzebą wsparcia lokalnych szkół w ramach projektów współfinansowanych z Europejskiego Funduszu Społecznego Plus (EFS+). Projekt obejmuje 31 szkół prowadzących kształcenie ogólne z terenu 11 gmin pogranicza woj. warmińsko-mazurskiego, której uczniowie i nauczyciele są bezpośrednimi beneficjentami działań projektowych.</w:t>
      </w:r>
    </w:p>
    <w:p w14:paraId="184CADA2" w14:textId="77777777" w:rsidR="009C6048" w:rsidRDefault="00344CBE">
      <w:pPr>
        <w:spacing w:before="240"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lastRenderedPageBreak/>
        <w:t>Diagnozy przeprowadzone w każdej ze szkół ujawniły szereg istotnych barier utrudniających rozwój edukacyjny uczniów oraz skuteczną pracę nauczycieli, m.in.:</w:t>
      </w:r>
    </w:p>
    <w:p w14:paraId="50ADD520" w14:textId="77777777" w:rsidR="009C6048" w:rsidRDefault="00344CBE">
      <w:pPr>
        <w:numPr>
          <w:ilvl w:val="0"/>
          <w:numId w:val="1"/>
        </w:numPr>
        <w:spacing w:before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niewystarczający poziom rozwijania kluczowych kompetencji i umiejętności podstawowych uczniów (łącznie 80,65% szkół),</w:t>
      </w:r>
      <w:r>
        <w:rPr>
          <w:rFonts w:ascii="Calibri" w:eastAsia="Calibri" w:hAnsi="Calibri" w:cs="Calibri"/>
          <w:sz w:val="24"/>
          <w:szCs w:val="24"/>
          <w:highlight w:val="white"/>
        </w:rPr>
        <w:br/>
      </w:r>
    </w:p>
    <w:p w14:paraId="37D60C16" w14:textId="77777777" w:rsidR="009C6048" w:rsidRDefault="00344CBE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niedostateczne działania w zakresie edukacji włączającej, w tym brak dopasowanych zajęć dodatkowych dla uczniów ze specjalnymi potrzebami edukacyjnymi (SPE) – problem ten dotyczy aż 45,16% szkół,</w:t>
      </w:r>
      <w:r>
        <w:rPr>
          <w:rFonts w:ascii="Calibri" w:eastAsia="Calibri" w:hAnsi="Calibri" w:cs="Calibri"/>
          <w:sz w:val="24"/>
          <w:szCs w:val="24"/>
          <w:highlight w:val="white"/>
        </w:rPr>
        <w:br/>
      </w:r>
    </w:p>
    <w:p w14:paraId="299A6B34" w14:textId="77777777" w:rsidR="009C6048" w:rsidRDefault="00344CBE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ograniczony dostęp do nowoczesnych pomocy dydaktycznych i metod eksperymentu (64,52% szkół),</w:t>
      </w:r>
      <w:r>
        <w:rPr>
          <w:rFonts w:ascii="Calibri" w:eastAsia="Calibri" w:hAnsi="Calibri" w:cs="Calibri"/>
          <w:sz w:val="24"/>
          <w:szCs w:val="24"/>
          <w:highlight w:val="white"/>
        </w:rPr>
        <w:br/>
      </w:r>
    </w:p>
    <w:p w14:paraId="240F811C" w14:textId="77777777" w:rsidR="009C6048" w:rsidRDefault="00344CBE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niewystarczające przygotowanie kadry nauczycielskiej do pracy z uczniami metodami aktywizującymi i wzmacniającymi kreatywność (64,52% szkół),</w:t>
      </w:r>
      <w:r>
        <w:rPr>
          <w:rFonts w:ascii="Calibri" w:eastAsia="Calibri" w:hAnsi="Calibri" w:cs="Calibri"/>
          <w:sz w:val="24"/>
          <w:szCs w:val="24"/>
          <w:highlight w:val="white"/>
        </w:rPr>
        <w:br/>
      </w:r>
    </w:p>
    <w:p w14:paraId="01D8D323" w14:textId="77777777" w:rsidR="009C6048" w:rsidRDefault="00344CBE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niski poziom wykorzystania technologii ICT i sztucznej inteligencji w procesie dydaktycznym (51,61%),</w:t>
      </w:r>
      <w:r>
        <w:rPr>
          <w:rFonts w:ascii="Calibri" w:eastAsia="Calibri" w:hAnsi="Calibri" w:cs="Calibri"/>
          <w:sz w:val="24"/>
          <w:szCs w:val="24"/>
          <w:highlight w:val="white"/>
        </w:rPr>
        <w:br/>
      </w:r>
    </w:p>
    <w:p w14:paraId="76288F86" w14:textId="77777777" w:rsidR="009C6048" w:rsidRDefault="00344CBE">
      <w:pPr>
        <w:numPr>
          <w:ilvl w:val="0"/>
          <w:numId w:val="1"/>
        </w:numPr>
        <w:spacing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trudności nauczycieli w motywowaniu uczniów oraz radzeniu sobie z wyzwaniami emocjonalno-społecznymi uczniów (łącznie ponad 58% szkół).</w:t>
      </w:r>
      <w:r>
        <w:rPr>
          <w:rFonts w:ascii="Calibri" w:eastAsia="Calibri" w:hAnsi="Calibri" w:cs="Calibri"/>
          <w:sz w:val="24"/>
          <w:szCs w:val="24"/>
          <w:highlight w:val="white"/>
        </w:rPr>
        <w:br/>
      </w:r>
    </w:p>
    <w:p w14:paraId="0D16EF29" w14:textId="77777777" w:rsidR="009C6048" w:rsidRDefault="00344CBE">
      <w:pPr>
        <w:spacing w:before="240"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Dodatkowo, niemal wszystkie szkoły (96,77%) wskazały na potrzebę wsparcia w zakresie przeciwdziałania dyskryminacji oraz budowania postawy otwartości i tolerancji wśród uczniów i nauczycieli, co wpisuje się w szeroko rozumiane działania na rzecz spójności społecznej i równych szans.</w:t>
      </w:r>
    </w:p>
    <w:p w14:paraId="43E1BC74" w14:textId="77777777" w:rsidR="009C6048" w:rsidRDefault="00344CBE">
      <w:pPr>
        <w:spacing w:before="240"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Projekt odpowiada również na potrzeby 100 nauczycieli (85 kobiet, 15 mężczyzn), z których wielu nie posiada wystarczających kompetencji do skutecznego wspierania rozwoju uczniów w zakresie kreatywności, innowacyjności oraz nowoczesnych form nauczania, w tym pracy z uczniem z SPE.</w:t>
      </w:r>
    </w:p>
    <w:p w14:paraId="46078FB2" w14:textId="77777777" w:rsidR="009C6048" w:rsidRDefault="00344CBE">
      <w:pPr>
        <w:spacing w:before="240"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Z punktu widzenia gminy, udział w projekcie jest szczególnie istotny, ponieważ:</w:t>
      </w:r>
    </w:p>
    <w:p w14:paraId="2B208C89" w14:textId="77777777" w:rsidR="009C6048" w:rsidRDefault="00344CBE">
      <w:pPr>
        <w:numPr>
          <w:ilvl w:val="0"/>
          <w:numId w:val="2"/>
        </w:numPr>
        <w:spacing w:before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umożliwia wyrównywanie szans edukacyjnych dzieci i młodzieży z terenów peryferyjnych i pogranicznych, często o ograniczonym dostępie do wysokiej jakości oferty edukacyjnej;</w:t>
      </w:r>
      <w:r>
        <w:rPr>
          <w:rFonts w:ascii="Calibri" w:eastAsia="Calibri" w:hAnsi="Calibri" w:cs="Calibri"/>
          <w:sz w:val="24"/>
          <w:szCs w:val="24"/>
          <w:highlight w:val="white"/>
        </w:rPr>
        <w:br/>
      </w:r>
    </w:p>
    <w:p w14:paraId="1ABC3AB0" w14:textId="77777777" w:rsidR="009C6048" w:rsidRDefault="00344CBE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wzmacnia potencjał lokalnych szkół i nauczycieli, przyczyniając się do poprawy jakości kształcenia i lepszego przygotowania uczniów do dalszej nauki i życia społeczno-</w:t>
      </w:r>
      <w:r>
        <w:rPr>
          <w:rFonts w:ascii="Calibri" w:eastAsia="Calibri" w:hAnsi="Calibri" w:cs="Calibri"/>
          <w:sz w:val="24"/>
          <w:szCs w:val="24"/>
          <w:highlight w:val="white"/>
        </w:rPr>
        <w:lastRenderedPageBreak/>
        <w:t>zawodowego;</w:t>
      </w:r>
      <w:r>
        <w:rPr>
          <w:rFonts w:ascii="Calibri" w:eastAsia="Calibri" w:hAnsi="Calibri" w:cs="Calibri"/>
          <w:sz w:val="24"/>
          <w:szCs w:val="24"/>
          <w:highlight w:val="white"/>
        </w:rPr>
        <w:br/>
      </w:r>
    </w:p>
    <w:p w14:paraId="42244063" w14:textId="77777777" w:rsidR="009C6048" w:rsidRDefault="00344CBE">
      <w:pPr>
        <w:numPr>
          <w:ilvl w:val="0"/>
          <w:numId w:val="2"/>
        </w:numPr>
        <w:spacing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realizuje cele polityki oświatowej i społecznej gminy, w tym wspieranie edukacji włączającej, rozwój kompetencji kluczowych, przeciwdziałanie wykluczeniu społecznemu oraz inwestycje w kapitał ludzki.</w:t>
      </w:r>
    </w:p>
    <w:p w14:paraId="03C6F6A0" w14:textId="5850B028" w:rsidR="009C6048" w:rsidRDefault="00344CBE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Całkowita wartość projektu wynosi</w:t>
      </w:r>
      <w:r w:rsidR="007830BE">
        <w:rPr>
          <w:rFonts w:ascii="Calibri" w:eastAsia="Calibri" w:hAnsi="Calibri" w:cs="Calibri"/>
          <w:sz w:val="24"/>
          <w:szCs w:val="24"/>
          <w:highlight w:val="white"/>
        </w:rPr>
        <w:t>: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16 254 180, 84 zł</w:t>
      </w:r>
    </w:p>
    <w:p w14:paraId="02F017BE" w14:textId="09FD5FCB" w:rsidR="009C6048" w:rsidRDefault="007830BE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Wartość dofinansowania:</w:t>
      </w:r>
      <w:r w:rsidR="00344CBE">
        <w:rPr>
          <w:rFonts w:ascii="Calibri" w:eastAsia="Calibri" w:hAnsi="Calibri" w:cs="Calibri"/>
          <w:sz w:val="24"/>
          <w:szCs w:val="24"/>
          <w:highlight w:val="white"/>
        </w:rPr>
        <w:t xml:space="preserve"> 13 754 741, 84 zł</w:t>
      </w:r>
    </w:p>
    <w:p w14:paraId="4FCB8FAA" w14:textId="77777777" w:rsidR="009C6048" w:rsidRDefault="009C6048">
      <w:pPr>
        <w:spacing w:before="240"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4F535D14" w14:textId="77777777" w:rsidR="009C6048" w:rsidRDefault="009C6048">
      <w:pPr>
        <w:spacing w:before="240"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sectPr w:rsidR="009C6048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60FB" w14:textId="77777777" w:rsidR="006C5336" w:rsidRDefault="006C5336">
      <w:pPr>
        <w:spacing w:line="240" w:lineRule="auto"/>
      </w:pPr>
      <w:r>
        <w:separator/>
      </w:r>
    </w:p>
  </w:endnote>
  <w:endnote w:type="continuationSeparator" w:id="0">
    <w:p w14:paraId="2D65B33E" w14:textId="77777777" w:rsidR="006C5336" w:rsidRDefault="006C5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B229" w14:textId="77777777" w:rsidR="009C6048" w:rsidRDefault="00344CBE">
    <w:r>
      <w:rPr>
        <w:noProof/>
      </w:rPr>
      <w:drawing>
        <wp:inline distT="114300" distB="114300" distL="114300" distR="114300" wp14:anchorId="40C28450" wp14:editId="015AD1CD">
          <wp:extent cx="5731200" cy="67310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84B4" w14:textId="77777777" w:rsidR="006C5336" w:rsidRDefault="006C5336">
      <w:pPr>
        <w:spacing w:line="240" w:lineRule="auto"/>
      </w:pPr>
      <w:r>
        <w:separator/>
      </w:r>
    </w:p>
  </w:footnote>
  <w:footnote w:type="continuationSeparator" w:id="0">
    <w:p w14:paraId="057022F8" w14:textId="77777777" w:rsidR="006C5336" w:rsidRDefault="006C53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8F66" w14:textId="77777777" w:rsidR="009C6048" w:rsidRDefault="00344CBE">
    <w:pPr>
      <w:jc w:val="right"/>
    </w:pPr>
    <w:r>
      <w:rPr>
        <w:noProof/>
      </w:rPr>
      <w:drawing>
        <wp:inline distT="114300" distB="114300" distL="114300" distR="114300" wp14:anchorId="0B9F238F" wp14:editId="7323D580">
          <wp:extent cx="2019300" cy="36195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466F1"/>
    <w:multiLevelType w:val="multilevel"/>
    <w:tmpl w:val="E758A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5548A3"/>
    <w:multiLevelType w:val="multilevel"/>
    <w:tmpl w:val="92EAAA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3934200">
    <w:abstractNumId w:val="0"/>
  </w:num>
  <w:num w:numId="2" w16cid:durableId="89196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48"/>
    <w:rsid w:val="002773D4"/>
    <w:rsid w:val="00344CBE"/>
    <w:rsid w:val="00623B31"/>
    <w:rsid w:val="006C5336"/>
    <w:rsid w:val="007830BE"/>
    <w:rsid w:val="009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752F"/>
  <w15:docId w15:val="{66BCE95F-34B6-4953-A5CA-A3D9BB45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TKua+oASgvi2BOAjKhEFZaB3jg==">CgMxLjAyDmguYzI5Zzh6cW9tNzN2OAByITFCU01xbjBXUFh2RG5RTXVXcWJybUhPcG82djJlMUg4NA==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663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Iwanowska</dc:creator>
  <cp:lastModifiedBy>Magdalena Szafran</cp:lastModifiedBy>
  <cp:revision>2</cp:revision>
  <dcterms:created xsi:type="dcterms:W3CDTF">2025-06-03T08:07:00Z</dcterms:created>
  <dcterms:modified xsi:type="dcterms:W3CDTF">2025-06-03T08:07:00Z</dcterms:modified>
</cp:coreProperties>
</file>