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7F93">
      <w:pPr>
        <w:autoSpaceDE w:val="0"/>
        <w:spacing w:line="100" w:lineRule="atLeast"/>
        <w:ind w:left="360" w:firstLine="6165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Załącznik nr 4</w:t>
      </w:r>
      <w:r>
        <w:rPr>
          <w:rFonts w:ascii="Arial" w:hAnsi="Arial" w:cs="Arial"/>
          <w:bCs/>
          <w:sz w:val="20"/>
        </w:rPr>
        <w:t xml:space="preserve"> </w:t>
      </w:r>
    </w:p>
    <w:p w:rsidR="00000000" w:rsidRDefault="00D87F93">
      <w:pPr>
        <w:autoSpaceDE w:val="0"/>
        <w:spacing w:line="100" w:lineRule="atLeast"/>
        <w:ind w:left="360" w:firstLine="61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do Zarządzenia Dyrektora nr</w:t>
      </w:r>
    </w:p>
    <w:p w:rsidR="00000000" w:rsidRDefault="00061DA1">
      <w:pPr>
        <w:autoSpaceDE w:val="0"/>
        <w:spacing w:line="100" w:lineRule="atLeast"/>
        <w:ind w:left="360" w:firstLine="61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2/2008</w:t>
      </w:r>
    </w:p>
    <w:p w:rsidR="00000000" w:rsidRDefault="00D87F93">
      <w:pPr>
        <w:autoSpaceDE w:val="0"/>
        <w:spacing w:line="360" w:lineRule="auto"/>
        <w:ind w:left="360"/>
        <w:rPr>
          <w:rFonts w:ascii="Arial" w:hAnsi="Arial" w:cs="Arial"/>
          <w:sz w:val="20"/>
        </w:rPr>
      </w:pPr>
    </w:p>
    <w:p w:rsidR="00000000" w:rsidRDefault="00D87F93">
      <w:pPr>
        <w:autoSpaceDE w:val="0"/>
        <w:spacing w:line="360" w:lineRule="auto"/>
        <w:ind w:left="360"/>
        <w:rPr>
          <w:rFonts w:ascii="Arial" w:hAnsi="Arial" w:cs="Arial"/>
          <w:sz w:val="20"/>
        </w:rPr>
      </w:pPr>
    </w:p>
    <w:p w:rsidR="00000000" w:rsidRDefault="00D87F93">
      <w:pPr>
        <w:pStyle w:val="WW-Tekstpodstawowywcity2"/>
        <w:rPr>
          <w:rFonts w:ascii="Arial" w:hAnsi="Arial" w:cs="Arial"/>
          <w:shadow/>
        </w:rPr>
      </w:pPr>
      <w:r>
        <w:rPr>
          <w:rFonts w:ascii="Arial" w:hAnsi="Arial" w:cs="Arial"/>
          <w:shadow/>
        </w:rPr>
        <w:t xml:space="preserve">Opis systemu informatycznego, zawierający wykaz programów wraz </w:t>
      </w:r>
      <w:r>
        <w:rPr>
          <w:rFonts w:ascii="Arial" w:hAnsi="Arial" w:cs="Arial"/>
          <w:shadow/>
        </w:rPr>
        <w:br/>
        <w:t xml:space="preserve">z charakterystyką i programowymi zasadami ochrony danych, </w:t>
      </w:r>
      <w:r>
        <w:rPr>
          <w:rFonts w:ascii="Arial" w:hAnsi="Arial" w:cs="Arial"/>
          <w:shadow/>
        </w:rPr>
        <w:br/>
        <w:t xml:space="preserve">a ponadto określenie wersji oprogramowania i daty </w:t>
      </w:r>
      <w:r>
        <w:rPr>
          <w:rFonts w:ascii="Arial" w:hAnsi="Arial" w:cs="Arial"/>
          <w:shadow/>
        </w:rPr>
        <w:br/>
        <w:t>rozpoczęcia je</w:t>
      </w:r>
      <w:r>
        <w:rPr>
          <w:rFonts w:ascii="Arial" w:hAnsi="Arial" w:cs="Arial"/>
          <w:shadow/>
        </w:rPr>
        <w:t>go eksploatacji</w:t>
      </w:r>
    </w:p>
    <w:p w:rsidR="00000000" w:rsidRDefault="00D87F93">
      <w:pPr>
        <w:autoSpaceDE w:val="0"/>
        <w:spacing w:line="360" w:lineRule="auto"/>
        <w:ind w:left="360"/>
        <w:rPr>
          <w:rFonts w:ascii="Arial" w:hAnsi="Arial" w:cs="Arial"/>
          <w:sz w:val="20"/>
        </w:rPr>
      </w:pPr>
    </w:p>
    <w:p w:rsidR="00000000" w:rsidRDefault="00D87F93">
      <w:pPr>
        <w:numPr>
          <w:ilvl w:val="0"/>
          <w:numId w:val="3"/>
        </w:numPr>
        <w:tabs>
          <w:tab w:val="left" w:pos="360"/>
        </w:tabs>
        <w:autoSpaceDE w:val="0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Głównym elementem systemu informatycznego rachunkowości jest oprogramowanie: </w:t>
      </w:r>
      <w:r>
        <w:rPr>
          <w:rFonts w:ascii="Arial" w:hAnsi="Arial" w:cs="Arial"/>
          <w:color w:val="0000FF"/>
          <w:sz w:val="20"/>
        </w:rPr>
        <w:t>Pakiet Optivum, firmy VULCAN</w:t>
      </w:r>
      <w:r>
        <w:rPr>
          <w:rFonts w:ascii="Arial" w:hAnsi="Arial" w:cs="Arial"/>
          <w:sz w:val="20"/>
        </w:rPr>
        <w:t xml:space="preserve">, składające się z modułów wzajemnie ze sobą współpracujących. Integracja polega na jednolitej klasyfikacji odnoszących się do danych </w:t>
      </w:r>
      <w:r>
        <w:rPr>
          <w:rFonts w:ascii="Arial" w:hAnsi="Arial" w:cs="Arial"/>
          <w:sz w:val="20"/>
        </w:rPr>
        <w:t>zdefiniowanych w części wspólnej systemu tj. w danych wspólnych i parametrach. W konstrukcji systemu wydzielono zbiory wspólne, wykorzystywane przez wszystkie moduły. Zbiory te tworzące wspólną bazę danych, pełnią obok funkcji informacyjnej, również funkcj</w:t>
      </w:r>
      <w:r>
        <w:rPr>
          <w:rFonts w:ascii="Arial" w:hAnsi="Arial" w:cs="Arial"/>
          <w:sz w:val="20"/>
        </w:rPr>
        <w:t>ę kontrolną.</w:t>
      </w:r>
    </w:p>
    <w:p w:rsidR="00000000" w:rsidRDefault="00D87F93">
      <w:pPr>
        <w:numPr>
          <w:ilvl w:val="0"/>
          <w:numId w:val="3"/>
        </w:numPr>
        <w:tabs>
          <w:tab w:val="left" w:pos="360"/>
        </w:tabs>
        <w:autoSpaceDE w:val="0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Integracja modułów umożliwia jednokrotne wprowadzenie danych z możliwością użytkowania tych danych przez wielu użytkowników w żądanej formie i przyspiesza proces przetwarzania danych. Dane </w:t>
      </w:r>
      <w:r>
        <w:rPr>
          <w:rFonts w:ascii="Arial" w:hAnsi="Arial" w:cs="Arial"/>
          <w:color w:val="0000FF"/>
          <w:sz w:val="20"/>
        </w:rPr>
        <w:t>generowane automatycznie</w:t>
      </w:r>
      <w:r>
        <w:rPr>
          <w:rFonts w:ascii="Arial" w:hAnsi="Arial" w:cs="Arial"/>
          <w:sz w:val="20"/>
        </w:rPr>
        <w:t xml:space="preserve"> w poszczególnych modułach są </w:t>
      </w:r>
      <w:r>
        <w:rPr>
          <w:rFonts w:ascii="Arial" w:hAnsi="Arial" w:cs="Arial"/>
          <w:sz w:val="20"/>
        </w:rPr>
        <w:t xml:space="preserve">podstawą ewidencji specyficznej dla danego modułu oraz dają możliwość sporządzenia dekretów operacji gospodarczych. Przepływ informacji pomiędzy oprogramowaniem </w:t>
      </w:r>
      <w:r>
        <w:rPr>
          <w:rFonts w:ascii="Arial" w:hAnsi="Arial" w:cs="Arial"/>
          <w:color w:val="0000FF"/>
          <w:sz w:val="20"/>
        </w:rPr>
        <w:t>Pakietu Optivum,</w:t>
      </w:r>
      <w:r>
        <w:rPr>
          <w:rFonts w:ascii="Arial" w:hAnsi="Arial" w:cs="Arial"/>
          <w:sz w:val="20"/>
        </w:rPr>
        <w:t xml:space="preserve"> a stosowanymi jeszcze systemami dziedzinowymi (płace, środki trwałe) odbywa si</w:t>
      </w:r>
      <w:r>
        <w:rPr>
          <w:rFonts w:ascii="Arial" w:hAnsi="Arial" w:cs="Arial"/>
          <w:sz w:val="20"/>
        </w:rPr>
        <w:t>ę metodą tradycyjną poprzez ręczne lub półautomatyczne wprowadzenie dokumentu zawierającego dekrety księgowe. Integracja modułów obejmuje swoim zakresem, także takie zagadnienia jak opracowanie wspólnych procedur dotyczących ochrony danych i zabezpieczenia</w:t>
      </w:r>
      <w:r>
        <w:rPr>
          <w:rFonts w:ascii="Arial" w:hAnsi="Arial" w:cs="Arial"/>
          <w:sz w:val="20"/>
        </w:rPr>
        <w:t xml:space="preserve"> przed nieuprawnionym dostępem oraz procedur kontroli i korekty danych.</w:t>
      </w:r>
    </w:p>
    <w:p w:rsidR="00000000" w:rsidRDefault="00D87F93">
      <w:pPr>
        <w:numPr>
          <w:ilvl w:val="0"/>
          <w:numId w:val="3"/>
        </w:numPr>
        <w:tabs>
          <w:tab w:val="left" w:pos="360"/>
        </w:tabs>
        <w:autoSpaceDE w:val="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Wykaz stosowanych programów znajduje się w poniższej tabeli:</w:t>
      </w:r>
    </w:p>
    <w:p w:rsidR="00000000" w:rsidRDefault="00D87F93">
      <w:pPr>
        <w:autoSpaceDE w:val="0"/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tblInd w:w="1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4"/>
        <w:gridCol w:w="2880"/>
        <w:gridCol w:w="2879"/>
        <w:gridCol w:w="1620"/>
        <w:gridCol w:w="1081"/>
      </w:tblGrid>
      <w:tr w:rsidR="00000000">
        <w:trPr>
          <w:cantSplit/>
        </w:trPr>
        <w:tc>
          <w:tcPr>
            <w:tcW w:w="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D87F93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D87F93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programu (systemu)</w:t>
            </w:r>
          </w:p>
        </w:tc>
        <w:tc>
          <w:tcPr>
            <w:tcW w:w="2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D87F93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Charakterystyka i wersja oprogramowania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D87F93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rozpoczęcia eksploatacji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D87F93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Producent</w:t>
            </w:r>
          </w:p>
        </w:tc>
      </w:tr>
      <w:tr w:rsidR="00000000">
        <w:trPr>
          <w:cantSplit/>
          <w:trHeight w:hRule="exact" w:val="567"/>
        </w:trPr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D87F93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D87F93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Pakiet Op</w:t>
            </w:r>
            <w:r>
              <w:rPr>
                <w:rFonts w:ascii="Arial" w:hAnsi="Arial" w:cs="Arial"/>
                <w:sz w:val="20"/>
              </w:rPr>
              <w:t>tivum</w:t>
            </w:r>
          </w:p>
        </w:tc>
        <w:tc>
          <w:tcPr>
            <w:tcW w:w="2879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D87F93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Wersja WINDOWS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D87F93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16.04.2002</w:t>
            </w:r>
          </w:p>
        </w:tc>
        <w:tc>
          <w:tcPr>
            <w:tcW w:w="10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D87F93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Firma VULCAN</w:t>
            </w:r>
          </w:p>
        </w:tc>
      </w:tr>
    </w:tbl>
    <w:p w:rsidR="00000000" w:rsidRDefault="00D87F93">
      <w:pPr>
        <w:autoSpaceDE w:val="0"/>
        <w:spacing w:line="360" w:lineRule="auto"/>
      </w:pPr>
    </w:p>
    <w:p w:rsidR="00000000" w:rsidRDefault="00D87F93">
      <w:pPr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Opis procedur i funkcji:</w:t>
      </w:r>
    </w:p>
    <w:p w:rsidR="00000000" w:rsidRDefault="00D87F93">
      <w:pPr>
        <w:numPr>
          <w:ilvl w:val="0"/>
          <w:numId w:val="2"/>
        </w:numPr>
        <w:tabs>
          <w:tab w:val="left" w:pos="1080"/>
        </w:tabs>
        <w:autoSpaceDE w:val="0"/>
        <w:spacing w:line="10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system informatyczny </w:t>
      </w:r>
      <w:r>
        <w:rPr>
          <w:rFonts w:ascii="Arial" w:hAnsi="Arial" w:cs="Arial"/>
          <w:color w:val="0000FF"/>
          <w:sz w:val="20"/>
        </w:rPr>
        <w:t>pakiet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 xml:space="preserve">Optivum firmy VULCAN </w:t>
      </w:r>
      <w:r>
        <w:rPr>
          <w:rFonts w:ascii="Arial" w:hAnsi="Arial" w:cs="Arial"/>
          <w:sz w:val="20"/>
        </w:rPr>
        <w:t>składa się z modułów o wysokim stopniu integracji, tworzących bazę danych, między którymi istnieją zdefiniowane powiązania i które s</w:t>
      </w:r>
      <w:r>
        <w:rPr>
          <w:rFonts w:ascii="Arial" w:hAnsi="Arial" w:cs="Arial"/>
          <w:sz w:val="20"/>
        </w:rPr>
        <w:t>ą zorganizowane w sposób pozwalający wykorzystywać je wielu użytkownikom w różnych częściach systemu. Wszelkie składniki tego oprogramowania komunikują się wzajemnie i współdziałają ze sobą przy wykonywaniu większości operacji. Każdy z modułów odpowiedzial</w:t>
      </w:r>
      <w:r>
        <w:rPr>
          <w:rFonts w:ascii="Arial" w:hAnsi="Arial" w:cs="Arial"/>
          <w:sz w:val="20"/>
        </w:rPr>
        <w:t>ny jest jednak za szczegółowy zakres ewidencji objętej tym modułem,</w:t>
      </w:r>
    </w:p>
    <w:p w:rsidR="00000000" w:rsidRDefault="00D87F93">
      <w:pPr>
        <w:numPr>
          <w:ilvl w:val="0"/>
          <w:numId w:val="2"/>
        </w:numPr>
        <w:tabs>
          <w:tab w:val="left" w:pos="1080"/>
        </w:tabs>
        <w:autoSpaceDE w:val="0"/>
        <w:spacing w:line="10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dokumentacji systemu </w:t>
      </w:r>
      <w:r>
        <w:rPr>
          <w:rFonts w:ascii="Arial" w:hAnsi="Arial" w:cs="Arial"/>
          <w:color w:val="0000FF"/>
          <w:sz w:val="20"/>
        </w:rPr>
        <w:t xml:space="preserve">pakiet Optivum firmy VULCAN </w:t>
      </w:r>
      <w:r>
        <w:rPr>
          <w:rFonts w:ascii="Arial" w:hAnsi="Arial" w:cs="Arial"/>
          <w:sz w:val="20"/>
        </w:rPr>
        <w:t>opisano główne moduły systemu, ich podstawowe funkcje, sposoby działania i inne czynności wykonywane w programie, z uwzględnieniem wzajem</w:t>
      </w:r>
      <w:r>
        <w:rPr>
          <w:rFonts w:ascii="Arial" w:hAnsi="Arial" w:cs="Arial"/>
          <w:sz w:val="20"/>
        </w:rPr>
        <w:t>nych powiązań integracyjnych,</w:t>
      </w:r>
    </w:p>
    <w:p w:rsidR="00000000" w:rsidRDefault="00D87F93">
      <w:pPr>
        <w:numPr>
          <w:ilvl w:val="0"/>
          <w:numId w:val="2"/>
        </w:numPr>
        <w:tabs>
          <w:tab w:val="left" w:pos="1080"/>
        </w:tabs>
        <w:autoSpaceDE w:val="0"/>
        <w:spacing w:line="100" w:lineRule="atLeast"/>
        <w:jc w:val="both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sz w:val="20"/>
          <w:u w:val="single"/>
        </w:rPr>
        <w:t>opis podstawowych funkcji wraz z opisem algorytmów i parametrów</w:t>
      </w:r>
      <w:r>
        <w:rPr>
          <w:rFonts w:ascii="Arial" w:hAnsi="Arial" w:cs="Arial"/>
          <w:sz w:val="20"/>
        </w:rPr>
        <w:t xml:space="preserve"> dla stosowanych systemów zawarto w instrukcjach użytkowania tych systemów, które stanowią uzupełnienie niniejszej dokumentacji i przechowywane są </w:t>
      </w:r>
      <w:r>
        <w:rPr>
          <w:rFonts w:ascii="Arial" w:hAnsi="Arial" w:cs="Arial"/>
          <w:color w:val="0000FF"/>
          <w:sz w:val="20"/>
        </w:rPr>
        <w:t xml:space="preserve">w Zespole Szkół </w:t>
      </w:r>
      <w:r>
        <w:rPr>
          <w:rFonts w:ascii="Arial" w:hAnsi="Arial" w:cs="Arial"/>
          <w:color w:val="0000FF"/>
          <w:sz w:val="20"/>
        </w:rPr>
        <w:t>w Łubnie.</w:t>
      </w:r>
    </w:p>
    <w:p w:rsidR="00000000" w:rsidRDefault="00D87F93">
      <w:pPr>
        <w:autoSpaceDE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Programowe zasady ochrony:</w:t>
      </w:r>
    </w:p>
    <w:p w:rsidR="00000000" w:rsidRDefault="00D87F93">
      <w:pPr>
        <w:numPr>
          <w:ilvl w:val="0"/>
          <w:numId w:val="1"/>
        </w:numPr>
        <w:tabs>
          <w:tab w:val="left" w:pos="1080"/>
        </w:tabs>
        <w:autoSpaceDE w:val="0"/>
        <w:spacing w:line="10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ochrona danych prowadzona jest w dwojaki sposób, tzn. jako ochrona przed osobami nieupoważnionymi oraz jako ochrona systemu przetwarzania danych wprowadzonych do systemów,</w:t>
      </w:r>
    </w:p>
    <w:p w:rsidR="00D87F93" w:rsidRDefault="00D87F93">
      <w:pPr>
        <w:numPr>
          <w:ilvl w:val="0"/>
          <w:numId w:val="1"/>
        </w:numPr>
        <w:tabs>
          <w:tab w:val="left" w:pos="1080"/>
        </w:tabs>
        <w:autoSpaceDE w:val="0"/>
        <w:spacing w:line="100" w:lineRule="atLeast"/>
        <w:jc w:val="both"/>
      </w:pPr>
      <w:r>
        <w:rPr>
          <w:rFonts w:ascii="Arial" w:hAnsi="Arial" w:cs="Arial"/>
          <w:sz w:val="20"/>
        </w:rPr>
        <w:lastRenderedPageBreak/>
        <w:t>bezpieczeństwo użytkowania systemu zapewnion</w:t>
      </w:r>
      <w:r>
        <w:rPr>
          <w:rFonts w:ascii="Arial" w:hAnsi="Arial" w:cs="Arial"/>
          <w:sz w:val="20"/>
        </w:rPr>
        <w:t>e jest poprzez funkcję administratora systemu oraz zdefiniowanie praw dostępu poszczególnym użytkownikom systemu na określonym poziomie. Prawa dostępu definiowane są przez użytkowników kluczowych i wprowadzone przez administratora systemu. Każdemu użytkown</w:t>
      </w:r>
      <w:r>
        <w:rPr>
          <w:rFonts w:ascii="Arial" w:hAnsi="Arial" w:cs="Arial"/>
          <w:sz w:val="20"/>
        </w:rPr>
        <w:t>ikowi definiuje się sesje, do których może mieć dostęp jak i wygląd ekranu. Użytkownicy końcowi mają dostęp tylko do sesji operacyjnych służących do wprowadzania danych i raportowania oraz do danych stałych poszczególnych modułów systemu (w ograniczonym za</w:t>
      </w:r>
      <w:r>
        <w:rPr>
          <w:rFonts w:ascii="Arial" w:hAnsi="Arial" w:cs="Arial"/>
          <w:sz w:val="20"/>
        </w:rPr>
        <w:t>kresie).</w:t>
      </w:r>
    </w:p>
    <w:sectPr w:rsidR="00D87F93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F93" w:rsidRDefault="00D87F93">
      <w:r>
        <w:separator/>
      </w:r>
    </w:p>
  </w:endnote>
  <w:endnote w:type="continuationSeparator" w:id="1">
    <w:p w:rsidR="00D87F93" w:rsidRDefault="00D87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ster Bodoni CE AT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87F93">
    <w:pPr>
      <w:pStyle w:val="Stopka"/>
      <w:jc w:val="right"/>
    </w:pPr>
    <w:r>
      <w:rPr>
        <w:rStyle w:val="Numerstrony"/>
        <w:i/>
        <w:iCs/>
        <w:sz w:val="16"/>
      </w:rPr>
      <w:fldChar w:fldCharType="begin"/>
    </w:r>
    <w:r>
      <w:rPr>
        <w:rStyle w:val="Numerstrony"/>
        <w:i/>
        <w:iCs/>
        <w:sz w:val="16"/>
      </w:rPr>
      <w:instrText xml:space="preserve"> PAGE </w:instrText>
    </w:r>
    <w:r>
      <w:rPr>
        <w:rStyle w:val="Numerstrony"/>
        <w:i/>
        <w:iCs/>
        <w:sz w:val="16"/>
      </w:rPr>
      <w:fldChar w:fldCharType="separate"/>
    </w:r>
    <w:r>
      <w:rPr>
        <w:rStyle w:val="Numerstrony"/>
        <w:i/>
        <w:iCs/>
        <w:noProof/>
        <w:sz w:val="16"/>
      </w:rPr>
      <w:t>1</w:t>
    </w:r>
    <w:r>
      <w:rPr>
        <w:rStyle w:val="Numerstrony"/>
        <w:i/>
        <w:iCs/>
        <w:sz w:val="16"/>
      </w:rPr>
      <w:t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F93" w:rsidRDefault="00D87F93">
      <w:r>
        <w:separator/>
      </w:r>
    </w:p>
  </w:footnote>
  <w:footnote w:type="continuationSeparator" w:id="1">
    <w:p w:rsidR="00D87F93" w:rsidRDefault="00D87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87F9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61DA1"/>
    <w:rsid w:val="00061DA1"/>
    <w:rsid w:val="00D8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qFormat/>
    <w:pPr>
      <w:keepNext/>
      <w:ind w:left="2520"/>
      <w:jc w:val="right"/>
      <w:outlineLvl w:val="2"/>
    </w:pPr>
    <w:rPr>
      <w:rFonts w:ascii="Arial" w:hAnsi="Arial"/>
      <w:b/>
      <w:sz w:val="20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ind w:left="709"/>
      <w:outlineLvl w:val="5"/>
    </w:pPr>
    <w:rPr>
      <w:rFonts w:ascii="Arial" w:hAnsi="Arial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qFormat/>
    <w:pPr>
      <w:keepNext/>
      <w:spacing w:line="360" w:lineRule="atLeast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0">
    <w:name w:val="WW8Num6z0"/>
    <w:rPr>
      <w:color w:val="auto"/>
    </w:rPr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6z0">
    <w:name w:val="WW8Num46z0"/>
    <w:rPr>
      <w:rFonts w:ascii="Times New Roman" w:hAnsi="Times New Roman"/>
    </w:rPr>
  </w:style>
  <w:style w:type="character" w:customStyle="1" w:styleId="WW8Num51z0">
    <w:name w:val="WW8Num51z0"/>
    <w:rPr>
      <w:rFonts w:ascii="Times New Roman" w:hAnsi="Times New Roman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6z0">
    <w:name w:val="WW8Num56z0"/>
    <w:rPr>
      <w:rFonts w:ascii="Times New Roman" w:hAnsi="Times New Roman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5z1">
    <w:name w:val="WW8Num65z1"/>
    <w:rPr>
      <w:rFonts w:ascii="Times New Roman" w:eastAsia="Times New Roman" w:hAnsi="Times New Roman" w:cs="Times New Roman"/>
    </w:rPr>
  </w:style>
  <w:style w:type="character" w:customStyle="1" w:styleId="WW8Num65z2">
    <w:name w:val="WW8Num65z2"/>
    <w:rPr>
      <w:u w:val="none"/>
    </w:rPr>
  </w:style>
  <w:style w:type="character" w:customStyle="1" w:styleId="WW8Num71z0">
    <w:name w:val="WW8Num71z0"/>
    <w:rPr>
      <w:rFonts w:ascii="Symbol" w:hAnsi="Symbol"/>
    </w:rPr>
  </w:style>
  <w:style w:type="character" w:customStyle="1" w:styleId="WW8Num71z1">
    <w:name w:val="WW8Num71z1"/>
    <w:rPr>
      <w:rFonts w:ascii="Courier New" w:hAnsi="Courier New" w:cs="Courier New"/>
    </w:rPr>
  </w:style>
  <w:style w:type="character" w:customStyle="1" w:styleId="WW8Num71z2">
    <w:name w:val="WW8Num71z2"/>
    <w:rPr>
      <w:rFonts w:ascii="Wingdings" w:hAnsi="Wingdings"/>
    </w:rPr>
  </w:style>
  <w:style w:type="character" w:customStyle="1" w:styleId="WW8Num72z0">
    <w:name w:val="WW8Num72z0"/>
    <w:rPr>
      <w:rFonts w:ascii="Symbol" w:hAnsi="Symbol"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3z1">
    <w:name w:val="WW8Num73z1"/>
    <w:rPr>
      <w:rFonts w:ascii="Courier New" w:hAnsi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6z2">
    <w:name w:val="WW8Num76z2"/>
    <w:rPr>
      <w:rFonts w:ascii="Arial" w:eastAsia="Times New Roman" w:hAnsi="Arial" w:cs="Arial"/>
      <w:color w:val="000000"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6z1">
    <w:name w:val="WW8Num86z1"/>
    <w:rPr>
      <w:rFonts w:ascii="Symbol" w:eastAsia="Times New Roman" w:hAnsi="Symbol" w:cs="Arial"/>
    </w:rPr>
  </w:style>
  <w:style w:type="character" w:customStyle="1" w:styleId="WW8Num86z3">
    <w:name w:val="WW8Num86z3"/>
    <w:rPr>
      <w:rFonts w:ascii="Symbol" w:hAnsi="Symbol"/>
      <w:color w:val="333399"/>
      <w:sz w:val="20"/>
    </w:rPr>
  </w:style>
  <w:style w:type="character" w:customStyle="1" w:styleId="WW8Num90z1">
    <w:name w:val="WW8Num90z1"/>
    <w:rPr>
      <w:rFonts w:ascii="Symbol" w:hAnsi="Symbol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2z1">
    <w:name w:val="WW8Num92z1"/>
    <w:rPr>
      <w:rFonts w:ascii="Courier New" w:hAnsi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103z1">
    <w:name w:val="WW8Num103z1"/>
    <w:rPr>
      <w:rFonts w:ascii="Symbol" w:hAnsi="Symbol"/>
    </w:rPr>
  </w:style>
  <w:style w:type="character" w:customStyle="1" w:styleId="WW8Num106z0">
    <w:name w:val="WW8Num106z0"/>
    <w:rPr>
      <w:rFonts w:ascii="Symbol" w:hAnsi="Symbol"/>
      <w:color w:val="333399"/>
      <w:sz w:val="20"/>
    </w:rPr>
  </w:style>
  <w:style w:type="character" w:customStyle="1" w:styleId="WW8Num106z1">
    <w:name w:val="WW8Num106z1"/>
    <w:rPr>
      <w:rFonts w:ascii="Courier New" w:hAnsi="Courier New"/>
    </w:rPr>
  </w:style>
  <w:style w:type="character" w:customStyle="1" w:styleId="WW8Num106z2">
    <w:name w:val="WW8Num106z2"/>
    <w:rPr>
      <w:rFonts w:ascii="Wingdings" w:hAnsi="Wingdings"/>
    </w:rPr>
  </w:style>
  <w:style w:type="character" w:customStyle="1" w:styleId="WW8Num106z3">
    <w:name w:val="WW8Num106z3"/>
    <w:rPr>
      <w:rFonts w:ascii="Symbol" w:hAnsi="Symbol"/>
    </w:rPr>
  </w:style>
  <w:style w:type="character" w:customStyle="1" w:styleId="WW8Num109z0">
    <w:name w:val="WW8Num109z0"/>
    <w:rPr>
      <w:rFonts w:ascii="Symbol" w:hAnsi="Symbol"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1z0">
    <w:name w:val="WW8Num111z0"/>
    <w:rPr>
      <w:rFonts w:ascii="Symbol" w:hAnsi="Symbol"/>
    </w:rPr>
  </w:style>
  <w:style w:type="character" w:customStyle="1" w:styleId="WW8Num111z1">
    <w:name w:val="WW8Num111z1"/>
    <w:rPr>
      <w:rFonts w:ascii="Arial" w:eastAsia="Times New Roman" w:hAnsi="Arial" w:cs="Arial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4">
    <w:name w:val="WW8Num111z4"/>
    <w:rPr>
      <w:rFonts w:ascii="Courier New" w:hAnsi="Courier New"/>
    </w:rPr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semiHidden/>
    <w:rPr>
      <w:color w:val="000000"/>
      <w:u w:val="single"/>
    </w:rPr>
  </w:style>
  <w:style w:type="character" w:customStyle="1" w:styleId="Znakiprzypiswdolnych">
    <w:name w:val="Znaki przypisów dolnych"/>
    <w:basedOn w:val="Domylnaczcionkaakapitu1"/>
    <w:rPr>
      <w:vertAlign w:val="superscript"/>
    </w:rPr>
  </w:style>
  <w:style w:type="character" w:styleId="Numerstrony">
    <w:name w:val="page number"/>
    <w:basedOn w:val="Domylnaczcionkaakapitu1"/>
    <w:semiHidden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0">
    <w:name w:val="p0"/>
    <w:basedOn w:val="Normalny"/>
    <w:pPr>
      <w:spacing w:before="280" w:after="280"/>
    </w:pPr>
  </w:style>
  <w:style w:type="paragraph" w:customStyle="1" w:styleId="p1">
    <w:name w:val="p1"/>
    <w:basedOn w:val="Normalny"/>
    <w:pPr>
      <w:spacing w:before="280" w:after="280"/>
    </w:pPr>
  </w:style>
  <w:style w:type="paragraph" w:customStyle="1" w:styleId="p2">
    <w:name w:val="p2"/>
    <w:basedOn w:val="Normalny"/>
    <w:pPr>
      <w:spacing w:before="280" w:after="280"/>
    </w:pPr>
  </w:style>
  <w:style w:type="paragraph" w:customStyle="1" w:styleId="dtn">
    <w:name w:val="dtn"/>
    <w:basedOn w:val="Normalny"/>
    <w:pPr>
      <w:spacing w:before="280" w:after="280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Tekstblokowy1">
    <w:name w:val="Tekst blokowy1"/>
    <w:basedOn w:val="Normalny"/>
    <w:pPr>
      <w:ind w:left="540" w:right="60" w:hanging="480"/>
    </w:pPr>
    <w:rPr>
      <w:rFonts w:ascii="Arial" w:hAnsi="Arial" w:cs="Arial"/>
      <w:color w:val="000000"/>
      <w:sz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WW-Tekstpodstawowy3">
    <w:name w:val="WW-Tekst podstawowy 3"/>
    <w:basedOn w:val="Normalny"/>
    <w:pPr>
      <w:autoSpaceDE w:val="0"/>
      <w:spacing w:line="360" w:lineRule="auto"/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rFonts w:ascii="Arial" w:hAnsi="Arial" w:cs="Arial"/>
      <w:b/>
      <w:bCs/>
      <w:sz w:val="28"/>
    </w:r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Arial" w:hAnsi="Arial" w:cs="Arial"/>
      <w:sz w:val="20"/>
    </w:rPr>
  </w:style>
  <w:style w:type="paragraph" w:customStyle="1" w:styleId="Normal">
    <w:name w:val="[Normal]"/>
    <w:pPr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WW-Tekstpodstawowywcity2">
    <w:name w:val="WW-Tekst podstawowy wcięty 2"/>
    <w:basedOn w:val="Normalny"/>
    <w:pPr>
      <w:autoSpaceDE w:val="0"/>
      <w:spacing w:line="360" w:lineRule="auto"/>
      <w:ind w:left="360"/>
      <w:jc w:val="center"/>
    </w:pPr>
    <w:rPr>
      <w:b/>
      <w:bCs/>
    </w:rPr>
  </w:style>
  <w:style w:type="paragraph" w:customStyle="1" w:styleId="WW-NormalnyWeb">
    <w:name w:val="WW-Normalny (Web)"/>
    <w:basedOn w:val="Normalny"/>
    <w:pPr>
      <w:spacing w:before="280" w:after="280"/>
    </w:pPr>
  </w:style>
  <w:style w:type="paragraph" w:customStyle="1" w:styleId="WW-Tekstpodstawowy2">
    <w:name w:val="WW-Tekst podstawowy 2"/>
    <w:basedOn w:val="Normalny"/>
    <w:rPr>
      <w:szCs w:val="20"/>
    </w:rPr>
  </w:style>
  <w:style w:type="paragraph" w:customStyle="1" w:styleId="WW-Zwykytekst">
    <w:name w:val="WW-Zwykły tekst"/>
    <w:basedOn w:val="Normalny"/>
    <w:rPr>
      <w:rFonts w:ascii="Courier New" w:hAnsi="Courier New"/>
      <w:sz w:val="20"/>
      <w:szCs w:val="20"/>
    </w:rPr>
  </w:style>
  <w:style w:type="paragraph" w:customStyle="1" w:styleId="FR1">
    <w:name w:val="FR1"/>
    <w:pPr>
      <w:widowControl w:val="0"/>
      <w:suppressAutoHyphens/>
      <w:autoSpaceDE w:val="0"/>
      <w:spacing w:before="240"/>
      <w:ind w:left="80"/>
      <w:jc w:val="center"/>
    </w:pPr>
    <w:rPr>
      <w:rFonts w:ascii="Arial" w:eastAsia="Arial" w:hAnsi="Arial"/>
      <w:b/>
      <w:sz w:val="16"/>
      <w:lang w:eastAsia="ar-SA"/>
    </w:rPr>
  </w:style>
  <w:style w:type="paragraph" w:customStyle="1" w:styleId="Tekstpodstawowywcity31">
    <w:name w:val="Tekst podstawowy wcięty 31"/>
    <w:basedOn w:val="Normalny"/>
    <w:pPr>
      <w:tabs>
        <w:tab w:val="left" w:pos="3410"/>
      </w:tabs>
      <w:ind w:left="426"/>
      <w:jc w:val="both"/>
    </w:pPr>
    <w:rPr>
      <w:rFonts w:ascii="Arial" w:hAnsi="Arial"/>
      <w:bCs/>
      <w:sz w:val="20"/>
      <w:szCs w:val="20"/>
    </w:rPr>
  </w:style>
  <w:style w:type="paragraph" w:customStyle="1" w:styleId="Tekstpodstawowy31">
    <w:name w:val="Tekst podstawowy 31"/>
    <w:basedOn w:val="Normalny"/>
    <w:rPr>
      <w:rFonts w:ascii="Arial" w:hAnsi="Arial" w:cs="Arial"/>
      <w:sz w:val="18"/>
    </w:rPr>
  </w:style>
  <w:style w:type="paragraph" w:styleId="NormalnyWeb">
    <w:name w:val="Normal (Web)"/>
    <w:basedOn w:val="Normalny"/>
    <w:pPr>
      <w:spacing w:before="280" w:after="119"/>
    </w:pPr>
    <w:rPr>
      <w:rFonts w:ascii="Arial Unicode MS" w:hAnsi="Arial Unicode MS"/>
    </w:rPr>
  </w:style>
  <w:style w:type="paragraph" w:styleId="Tekstpodstawowywcity">
    <w:name w:val="Body Text Indent"/>
    <w:basedOn w:val="Normalny"/>
    <w:semiHidden/>
    <w:pPr>
      <w:ind w:left="426"/>
      <w:jc w:val="both"/>
    </w:pPr>
    <w:rPr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rFonts w:ascii="Poster Bodoni CE ATT" w:hAnsi="Poster Bodoni CE ATT"/>
      <w:b/>
      <w:spacing w:val="20"/>
      <w:sz w:val="36"/>
      <w:szCs w:val="20"/>
    </w:rPr>
  </w:style>
  <w:style w:type="paragraph" w:styleId="Podtytu">
    <w:name w:val="Subtitle"/>
    <w:basedOn w:val="Normalny"/>
    <w:next w:val="Tekstpodstawowy"/>
    <w:qFormat/>
    <w:rPr>
      <w:b/>
      <w:sz w:val="20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3C3C3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3067</Characters>
  <Application>Microsoft Office Word</Application>
  <DocSecurity>0</DocSecurity>
  <Lines>25</Lines>
  <Paragraphs>7</Paragraphs>
  <ScaleCrop>false</ScaleCrop>
  <Company>zs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prowadzenia rachunkowości wynikające z ustawy z 30 czerw</dc:title>
  <dc:subject/>
  <cp:keywords/>
  <cp:lastModifiedBy>gm</cp:lastModifiedBy>
  <cp:revision>2</cp:revision>
  <cp:lastPrinted>2112-12-31T22:00:00Z</cp:lastPrinted>
  <dcterms:created xsi:type="dcterms:W3CDTF">2008-08-07T08:01:00Z</dcterms:created>
  <dcterms:modified xsi:type="dcterms:W3CDTF">2008-08-07T08:01:00Z</dcterms:modified>
</cp:coreProperties>
</file>