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6" w:rsidRPr="00C127F1" w:rsidRDefault="00B92CD6" w:rsidP="00B92CD6">
      <w:pPr>
        <w:pStyle w:val="rozdzial"/>
      </w:pPr>
      <w:bookmarkStart w:id="0" w:name="_GoBack"/>
      <w:bookmarkEnd w:id="0"/>
      <w:r w:rsidRPr="00C127F1">
        <w:t>Przedmiotowy system oceniania (propozycja)</w:t>
      </w:r>
    </w:p>
    <w:tbl>
      <w:tblPr>
        <w:tblW w:w="0" w:type="auto"/>
        <w:tblLook w:val="0000"/>
      </w:tblPr>
      <w:tblGrid>
        <w:gridCol w:w="222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4.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4054B0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4054B0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lastRenderedPageBreak/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rożróżnia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lastRenderedPageBreak/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pojącie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lastRenderedPageBreak/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lastRenderedPageBreak/>
              <w:t>wyodrębnia z tekstów i rysunków informacj</w:t>
            </w:r>
            <w:r w:rsidRPr="00C127F1">
              <w:t>e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się odpowiednimi symbolami) wraz z jednostkami (długość, masa, </w:t>
            </w:r>
            <w:r w:rsidRPr="00C127F1">
              <w:lastRenderedPageBreak/>
              <w:t>temperatura,czas)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</w:t>
            </w:r>
            <w:r w:rsidRPr="00C127F1">
              <w:lastRenderedPageBreak/>
              <w:t xml:space="preserve">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internetu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4054B0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4054B0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wyodrębnia z tekstów, tabel i rysunków </w:t>
            </w:r>
            <w:r w:rsidRPr="00C127F1">
              <w:lastRenderedPageBreak/>
              <w:t>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określa i porównuje właściwości ciał stałych, </w:t>
            </w:r>
            <w:r w:rsidRPr="00C127F1">
              <w:lastRenderedPageBreak/>
              <w:t>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 xml:space="preserve">nym za pomocą wagi i przymiaru lub o nieregularnym kształcie za pomocą wagi, </w:t>
            </w:r>
            <w:r w:rsidRPr="00C127F1">
              <w:lastRenderedPageBreak/>
              <w:t>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lastRenderedPageBreak/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4054B0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lastRenderedPageBreak/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lastRenderedPageBreak/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</w:t>
            </w:r>
            <w:r w:rsidRPr="00C127F1">
              <w:t>e</w:t>
            </w:r>
            <w:r w:rsidRPr="00C127F1">
              <w:t>niem, parciem i polem powierzchni, związku między ciśnieniem hydrostatycznym a wysokością słupa cieczy i jej gęstością, prawa Pascala, prawa Archimedesa, warunków pł</w:t>
            </w:r>
            <w:r w:rsidRPr="00C127F1">
              <w:t>y</w:t>
            </w:r>
            <w:r w:rsidRPr="00C127F1">
              <w:t>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przeprowadza obliczenia i zapisuje wynik zgodnie z zasadami zaokrąglania oraz z</w:t>
            </w:r>
            <w:r w:rsidRPr="00C127F1">
              <w:t>a</w:t>
            </w:r>
            <w:r w:rsidRPr="00C127F1">
              <w:t>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tympopularnonaukowych) dotyczących ciśnienia hydrostatycznego i atmosferycznego oraz prawa Archimed</w:t>
            </w:r>
            <w:r w:rsidRPr="00C127F1">
              <w:t>e</w:t>
            </w:r>
            <w:r w:rsidRPr="00C127F1">
              <w:t>sa, a w szczególności informacjami poch</w:t>
            </w:r>
            <w:r w:rsidRPr="00C127F1">
              <w:t>o</w:t>
            </w:r>
            <w:r w:rsidRPr="00C127F1">
              <w:t xml:space="preserve">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lastRenderedPageBreak/>
              <w:t>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lastRenderedPageBreak/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4054B0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lastRenderedPageBreak/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odczytuje dane z wykresów zależności drogi, prędkości i przyspieszenia od czasu dla ruchów prostoliniowych: jednostajnego </w:t>
            </w:r>
            <w:r w:rsidRPr="00C127F1">
              <w:lastRenderedPageBreak/>
              <w:t>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wyznacza wartość prędkości i drogę z wykresów zależności prędkości i drogi </w:t>
            </w:r>
            <w:r w:rsidRPr="00C127F1">
              <w:lastRenderedPageBreak/>
              <w:t>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8F6892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lastRenderedPageBreak/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 xml:space="preserve">ci; opisuje przebieg </w:t>
            </w:r>
            <w:r w:rsidRPr="0011106B">
              <w:lastRenderedPageBreak/>
              <w:t>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8F6892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8F6892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8F6892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8F6892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985093">
              <w:fldChar w:fldCharType="end"/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>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lastRenderedPageBreak/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 xml:space="preserve">wadza wzór na obliczanie drogi w tym </w:t>
            </w:r>
            <w:r w:rsidRPr="00C127F1">
              <w:lastRenderedPageBreak/>
              <w:t>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4054B0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lastRenderedPageBreak/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lastRenderedPageBreak/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>miaru;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>(z wykorzystaniem: pierwszej zasady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8F6892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8F6892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 xml:space="preserve">naukowych) dotyczących przykładów wykorzystania zasady odrzutu </w:t>
            </w:r>
            <w:r w:rsidRPr="00C127F1">
              <w:lastRenderedPageBreak/>
              <w:t>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4054B0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wyjaśnia co rozumiemy przez pojęcie energii oraz kiedy ciało zyskuje energię, a kiedy ją traci; </w:t>
            </w:r>
            <w:r w:rsidRPr="00C127F1">
              <w:lastRenderedPageBreak/>
              <w:t>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podaje i opisuje zależność przyrostu energii potencjalnej grawitacji ciała od jego masy </w:t>
            </w:r>
            <w:r w:rsidRPr="00C127F1">
              <w:lastRenderedPageBreak/>
              <w:t>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8F6892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</w:t>
            </w:r>
            <w:r w:rsidRPr="00C127F1">
              <w:lastRenderedPageBreak/>
              <w:t xml:space="preserve">zachowania energii mechanicznej)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8F6892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lastRenderedPageBreak/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>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</w:t>
            </w:r>
            <w:r w:rsidRPr="00C127F1">
              <w:lastRenderedPageBreak/>
              <w:t xml:space="preserve">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4054B0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</w:t>
            </w:r>
            <w:r w:rsidRPr="00C127F1">
              <w:t>o</w:t>
            </w:r>
            <w:r w:rsidRPr="00C127F1">
              <w:t>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 xml:space="preserve">nia: topnienie, krzepnięcie, parowanie, skraplanie, sublimację, resublimację oraz wskazuje przykłady tych zjawisk </w:t>
            </w:r>
            <w:r w:rsidRPr="00C127F1">
              <w:lastRenderedPageBreak/>
              <w:t>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>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lastRenderedPageBreak/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="008F6892"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205BD0">
              <w:fldChar w:fldCharType="end"/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 xml:space="preserve">ich jednostkami oraz </w:t>
            </w:r>
            <w:r w:rsidRPr="0011106B">
              <w:lastRenderedPageBreak/>
              <w:t>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lastRenderedPageBreak/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8F6892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8F6892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547B85">
              <w:fldChar w:fldCharType="end"/>
            </w:r>
            <w:r w:rsidRPr="00C127F1">
              <w:t xml:space="preserve">, zależności </w:t>
            </w:r>
            <w:r w:rsidR="008F6892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892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8F6892"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parowania); wykonuje obliczenia i zapisuje wynik zgodnie z zasadami zaokrąglania oraz zachowaniem liczby cyfr znaczących wynikającej z dokładności danych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posługuje się pojęciem ciepła topnienia wraz z jednostką w układzie SI; podaje wzór </w:t>
            </w:r>
            <w:r w:rsidRPr="00C127F1">
              <w:lastRenderedPageBreak/>
              <w:t>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lastRenderedPageBreak/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 xml:space="preserve">a wszczególności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lastRenderedPageBreak/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7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E2" w:rsidRDefault="00A97FE2" w:rsidP="00BD0596">
      <w:r>
        <w:separator/>
      </w:r>
    </w:p>
  </w:endnote>
  <w:endnote w:type="continuationSeparator" w:id="1">
    <w:p w:rsidR="00A97FE2" w:rsidRDefault="00A97FE2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E2" w:rsidRDefault="00A97FE2" w:rsidP="00BD0596">
      <w:r>
        <w:separator/>
      </w:r>
    </w:p>
  </w:footnote>
  <w:footnote w:type="continuationSeparator" w:id="1">
    <w:p w:rsidR="00A97FE2" w:rsidRDefault="00A97FE2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8F6892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style="mso-next-textbox:#Pole tekstowe 474" inset=",0,,0">
            <w:txbxContent>
              <w:p w:rsidR="00BD0596" w:rsidRPr="00A65C11" w:rsidRDefault="008F6892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BD0596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1722E0" w:rsidRPr="001722E0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17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ed="f" fillcolor="#b1c903" stroked="f">
          <v:textbox style="mso-next-textbox:#Pole tekstowe 473" inset=",0,,0">
            <w:txbxContent>
              <w:p w:rsidR="00BD0596" w:rsidRPr="004054B0" w:rsidRDefault="00BD0596" w:rsidP="004054B0"/>
            </w:txbxContent>
          </v:textbox>
          <w10:wrap anchorx="page" anchory="page"/>
        </v:shape>
      </w:pict>
    </w:r>
  </w:p>
  <w:p w:rsidR="00BD0596" w:rsidRDefault="00BD0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A5FD9"/>
    <w:rsid w:val="000E7C17"/>
    <w:rsid w:val="001722E0"/>
    <w:rsid w:val="00272901"/>
    <w:rsid w:val="002B11B2"/>
    <w:rsid w:val="00372F93"/>
    <w:rsid w:val="003949A2"/>
    <w:rsid w:val="004054B0"/>
    <w:rsid w:val="00512715"/>
    <w:rsid w:val="005222FB"/>
    <w:rsid w:val="00556787"/>
    <w:rsid w:val="005C0F60"/>
    <w:rsid w:val="005C330A"/>
    <w:rsid w:val="0060697A"/>
    <w:rsid w:val="006233D8"/>
    <w:rsid w:val="007567D7"/>
    <w:rsid w:val="00760232"/>
    <w:rsid w:val="00791A66"/>
    <w:rsid w:val="00885CAA"/>
    <w:rsid w:val="008F6892"/>
    <w:rsid w:val="00902585"/>
    <w:rsid w:val="009027AB"/>
    <w:rsid w:val="00990B1B"/>
    <w:rsid w:val="009C60D0"/>
    <w:rsid w:val="00A65C11"/>
    <w:rsid w:val="00A948B5"/>
    <w:rsid w:val="00A97FE2"/>
    <w:rsid w:val="00AA4615"/>
    <w:rsid w:val="00AF6613"/>
    <w:rsid w:val="00B52C19"/>
    <w:rsid w:val="00B74762"/>
    <w:rsid w:val="00B92CD6"/>
    <w:rsid w:val="00BD0596"/>
    <w:rsid w:val="00C0057D"/>
    <w:rsid w:val="00C7648F"/>
    <w:rsid w:val="00D3238A"/>
    <w:rsid w:val="00D66680"/>
    <w:rsid w:val="00E0128C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67D7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7567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7567D7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7567D7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7567D7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7567D7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7567D7"/>
    <w:pPr>
      <w:jc w:val="center"/>
    </w:pPr>
  </w:style>
  <w:style w:type="character" w:customStyle="1" w:styleId="dzial-B">
    <w:name w:val="dzial-B"/>
    <w:uiPriority w:val="99"/>
    <w:rsid w:val="007567D7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11/relationships/commentsExtended" Target="commentsExtended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2859-34F5-400C-BD15-8C0779B8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7296</Words>
  <Characters>43782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Admin</cp:lastModifiedBy>
  <cp:revision>4</cp:revision>
  <dcterms:created xsi:type="dcterms:W3CDTF">2018-09-12T13:43:00Z</dcterms:created>
  <dcterms:modified xsi:type="dcterms:W3CDTF">2018-10-09T18:09:00Z</dcterms:modified>
</cp:coreProperties>
</file>